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A16AE">
      <w:pPr>
        <w:spacing w:after="80"/>
        <w:ind w:firstLine="0"/>
        <w:jc w:val="center"/>
      </w:pPr>
      <w:r>
        <w:rPr>
          <w:b/>
          <w:sz w:val="30"/>
        </w:rPr>
        <w:t>ПУБЛИЧНАЯ ОФЕРТА</w:t>
      </w:r>
    </w:p>
    <w:p w14:paraId="38B1169C">
      <w:pPr>
        <w:spacing w:after="100"/>
        <w:ind w:firstLine="0"/>
        <w:jc w:val="center"/>
      </w:pPr>
      <w:r>
        <w:rPr>
          <w:b/>
          <w:sz w:val="24"/>
        </w:rPr>
        <w:t>о заключении договора возмездного оказания информационно-маркетинговых услуг</w:t>
      </w:r>
      <w:r>
        <w:rPr>
          <w:b/>
          <w:sz w:val="24"/>
        </w:rPr>
        <w:br w:type="textWrapping"/>
      </w:r>
      <w:r>
        <w:rPr>
          <w:b/>
          <w:sz w:val="24"/>
        </w:rPr>
        <w:t>в рамках реферальной программы GoodExplorer</w:t>
      </w:r>
    </w:p>
    <w:p w14:paraId="522F70F1">
      <w:pPr>
        <w:pStyle w:val="166"/>
      </w:pPr>
      <w:r>
        <w:t>Редакция № 1 от 03.11.2026  •  место публикации: https://195-133-25-125.sslip.io/</w:t>
      </w:r>
      <w:bookmarkStart w:id="0" w:name="_GoBack"/>
      <w:bookmarkEnd w:id="0"/>
    </w:p>
    <w:p w14:paraId="787E1B5F">
      <w:pPr>
        <w:pStyle w:val="166"/>
      </w:pPr>
      <w:r>
        <w:t>Место составления: г. Королёв</w:t>
      </w:r>
    </w:p>
    <w:p w14:paraId="30E57A38">
      <w:r>
        <w:t>Ланько Максимильян Витальевич, ОГРН/ОГРНИП 322774600539886, ИНН 772353814001, юридический адрес (адрес ИП) улица Перерва, д. 31, кв./оф. 378, г. Москва, именуемый далее «Заказчик» или «Оферент», использующий коммерческое обозначение GoodExplorer, настоящим предлагает дееспособным совершеннолетним физическим лицам, применяющим налог на профессиональный доход (далее — «НПД»), и индивидуальным предпринимателям (далее совместно — «Партнёры») заключить договор на условиях настоящей публичной оферты (далее — «Оферта», «Договор»).</w:t>
      </w:r>
    </w:p>
    <w:p w14:paraId="3A35B844">
      <w:pPr>
        <w:spacing w:after="180"/>
      </w:pPr>
      <w:r>
        <w:t>Оферта адресована лицам, отвечающим требованиям раздела 3. Физические лица, не имеющие указанного налогового или предпринимательского статуса, могут сотрудничать с Заказчиком только по отдельному договору с надлежащим оформлением налоговых и иных обязанностей. Оферта не регулирует трудоустройство.</w:t>
      </w:r>
    </w:p>
    <w:p w14:paraId="3DA9E1B7">
      <w:pPr>
        <w:pStyle w:val="164"/>
      </w:pPr>
      <w:r>
        <w:t>1. ТЕРМИНЫ И ОПРЕДЕЛЕНИЯ</w:t>
      </w:r>
    </w:p>
    <w:p w14:paraId="477CF270">
      <w:r>
        <w:rPr>
          <w:b/>
        </w:rPr>
        <w:t xml:space="preserve">1.1. </w:t>
      </w:r>
      <w:r>
        <w:t>Сайт — принадлежащий Заказчику веб-ресурс по адресу https://195-133-25-125.sslip.io/, на котором размещена действующая редакция Оферты, личный кабинет Партнёра и/или форма регистрации реферальных обращений.</w:t>
      </w:r>
    </w:p>
    <w:p w14:paraId="1E01DA93">
      <w:r>
        <w:rPr>
          <w:b/>
        </w:rPr>
        <w:t xml:space="preserve">1.2. </w:t>
      </w:r>
      <w:r>
        <w:t>Личный кабинет (ЛК) — защищённый раздел Сайта, предоставляемый зарегистрированному Партнёру для ознакомления с Офертой и тарифами, передачи реферальной ссылки, учёта принятых лидов, актов и начислений.</w:t>
      </w:r>
    </w:p>
    <w:p w14:paraId="0436EE94">
      <w:r>
        <w:rPr>
          <w:b/>
        </w:rPr>
        <w:t xml:space="preserve">1.3. </w:t>
      </w:r>
      <w:r>
        <w:t>Лид — потенциальный заказчик IT-услуг Заказчика (юридическое лицо, ИП либо физическое лицо), добровольно обратившийся к Заказчику посредством индивидуальной реферальной ссылки Партнёра или иного официального канала учёта.</w:t>
      </w:r>
    </w:p>
    <w:p w14:paraId="3C70FDAC">
      <w:r>
        <w:rPr>
          <w:b/>
        </w:rPr>
        <w:t xml:space="preserve">1.4. </w:t>
      </w:r>
      <w:r>
        <w:t>Зарегистрированный лид — обращение с зафиксированными системой идентификатором Партнёра, датой и временем обращения, способом атрибуции и идентификатором клиента, принятое в соответствии с разделом 5.</w:t>
      </w:r>
    </w:p>
    <w:p w14:paraId="69610BDC">
      <w:r>
        <w:rPr>
          <w:b/>
        </w:rPr>
        <w:t xml:space="preserve">1.5. </w:t>
      </w:r>
      <w:r>
        <w:t>Квалифицированный лид — Зарегистрированный лид, который соответствует критериям раздела 5, подтверждён Заказчиком или считается предварительно принятым по правилам раздела 5 и не является документально подтверждённым дублем.</w:t>
      </w:r>
    </w:p>
    <w:p w14:paraId="106F7E8A">
      <w:r>
        <w:rPr>
          <w:b/>
        </w:rPr>
        <w:t xml:space="preserve">1.6. </w:t>
      </w:r>
      <w:r>
        <w:t>Закрытый лид — Квалифицированный лид, в отношении которого выполнены все объективные условия раздела 6: заключён договор на IT-услуги на сумму не ниже порога тарифа, поступила оплата и завершён предусмотренный договором период проверки возврата.</w:t>
      </w:r>
    </w:p>
    <w:p w14:paraId="6FE7555B">
      <w:r>
        <w:rPr>
          <w:b/>
        </w:rPr>
        <w:t xml:space="preserve">1.7. </w:t>
      </w:r>
      <w:r>
        <w:t>Период атрибуции — 180 календарных дней от времени первичной корректной регистрации лида, в течение которых должны быть заключены клиентский договор и получен первый платёж, с учётом исключений раздела 6.</w:t>
      </w:r>
    </w:p>
    <w:p w14:paraId="483BF524">
      <w:r>
        <w:rPr>
          <w:b/>
        </w:rPr>
        <w:t xml:space="preserve">1.8. </w:t>
      </w:r>
      <w:r>
        <w:t>Тариф — размер единовременной платы за один Закрытый лид и условия его применения, зафиксированные в приложении № 1 и в версии Оферты, принятой Партнёром на дату регистрации соответствующего лида.</w:t>
      </w:r>
    </w:p>
    <w:p w14:paraId="644F8A27">
      <w:r>
        <w:rPr>
          <w:b/>
        </w:rPr>
        <w:t xml:space="preserve">1.9. </w:t>
      </w:r>
      <w:r>
        <w:t>Рабочий день — день, не являющийся выходным или нерабочим праздничным днём в соответствии с законодательством РФ. Для фиксации момента событий ЛК используется московское время (UTC+3), если в интерфейсе отдельно не указан другой часовой пояс.</w:t>
      </w:r>
    </w:p>
    <w:p w14:paraId="28CCCE17">
      <w:pPr>
        <w:pStyle w:val="164"/>
      </w:pPr>
      <w:r>
        <w:t>2. ПРЕДМЕТ ДОГОВОРА И ПРАВОВАЯ ПРИРОДА</w:t>
      </w:r>
    </w:p>
    <w:p w14:paraId="4F5B6460">
      <w:r>
        <w:rPr>
          <w:b/>
        </w:rPr>
        <w:t xml:space="preserve">2.1. </w:t>
      </w:r>
      <w:r>
        <w:t>Партнёр по собственной инициативе и независимо от Заказчика оказывает ограниченные информационно-маркетинговые услуги: информирует заинтересованных лиц о существовании услуг Заказчика и передаёт им официальную реферальную ссылку на Сайт, по которой такие лица могут самостоятельно направить запрос. Заказчик обязуется учитывать результаты и оплачивать их при наступлении условий для Закрытого лида.</w:t>
      </w:r>
    </w:p>
    <w:p w14:paraId="166AAF25">
      <w:r>
        <w:rPr>
          <w:b/>
        </w:rPr>
        <w:t xml:space="preserve">2.2. </w:t>
      </w:r>
      <w:r>
        <w:t>Дополнительная допустимая услуга — сообщение Заказчику обезличенных или не относящихся к персональным данным сведений о потенциальном спросе, сегменте рынка либо тематике проекта. Направление Партнёром персональных данных третьих лиц допускается только при отдельном правовом основании и по правилам раздела 10.</w:t>
      </w:r>
    </w:p>
    <w:p w14:paraId="635F954F">
      <w:r>
        <w:rPr>
          <w:b/>
        </w:rPr>
        <w:t xml:space="preserve">2.3. </w:t>
      </w:r>
      <w:r>
        <w:t>Стороны согласовали квалификацию отношений по главе 39 ГК РФ как возмездное оказание информационно-маркетинговых услуг. Партнёр не является агентом, комиссионером, поверенным или представителем Заказчика; ему не предоставляются полномочия создавать, изменять либо прекращать права и обязанности Заказчика перед третьими лицами.</w:t>
      </w:r>
    </w:p>
    <w:p w14:paraId="7D40B930">
      <w:r>
        <w:rPr>
          <w:b/>
        </w:rPr>
        <w:t xml:space="preserve">2.4. </w:t>
      </w:r>
      <w:r>
        <w:t>Партнёр не вправе от имени Заказчика заключать сделки, принимать платежи, подписывать документы, выставлять счета, самостоятельно утверждать стоимость, скидки, сроки разработки или гарантии, а также осуществлять переговоры в качестве уполномоченного представителя Заказчика.</w:t>
      </w:r>
    </w:p>
    <w:p w14:paraId="5364FA9D">
      <w:r>
        <w:rPr>
          <w:b/>
        </w:rPr>
        <w:t xml:space="preserve">2.5. </w:t>
      </w:r>
      <w:r>
        <w:t>Все переговоры о существенных условиях, техническое задание, коммерческое предложение, подписание договора с клиентом, приём платежей и исполнение IT-проекта выполняются Заказчиком самостоятельно.</w:t>
      </w:r>
    </w:p>
    <w:p w14:paraId="6F6270A3">
      <w:r>
        <w:rPr>
          <w:b/>
        </w:rPr>
        <w:t xml:space="preserve">2.6. </w:t>
      </w:r>
      <w:r>
        <w:t>Никакого обязательного графика, рабочего места, должности, оклада, подчинения правилам внутреннего трудового распорядка, норм выработки и гарантий дохода настоящая Оферта не устанавливает. Партнёр вправе не направлять лидов; оплачиваемый результат возникает исключительно при соблюдении условий Закрытого лида. Фактические отношения при этом оцениваются по их содержанию и императивным нормам закона.</w:t>
      </w:r>
    </w:p>
    <w:p w14:paraId="3D90B303">
      <w:pPr>
        <w:pStyle w:val="164"/>
      </w:pPr>
      <w:r>
        <w:t>3. УЧАСТНИКИ ПРОГРАММЫ И ЗАВЕРЕНИЯ ПАРТНЁРА</w:t>
      </w:r>
    </w:p>
    <w:p w14:paraId="204B3300">
      <w:r>
        <w:rPr>
          <w:b/>
        </w:rPr>
        <w:t xml:space="preserve">3.1. </w:t>
      </w:r>
      <w:r>
        <w:t>Акцептовать Оферту вправе дееспособное лицо не моложе 18 лет, действующее от собственного имени, обладающее ИНН и подтверждённым статусом: (а) плательщика НПД (физическое лицо или ИП, применяющий НПД); либо (б) индивидуального предпринимателя, применяющего иной законный режим налогообложения.</w:t>
      </w:r>
    </w:p>
    <w:p w14:paraId="6E936BDE">
      <w:r>
        <w:rPr>
          <w:b/>
        </w:rPr>
        <w:t xml:space="preserve">3.2. </w:t>
      </w:r>
      <w:r>
        <w:t>Партнёр до акцепта предоставляет достоверные идентификационные данные: Ф.И.О. (или данные ИП), ИНН, применяемый налоговый режим, проверенный номер телефона и адрес электронной почты, платёжные реквизиты; предоставляет дополнительные сведения лишь в объёме, необходимом по закону для заключения и исполнения Договора.</w:t>
      </w:r>
    </w:p>
    <w:p w14:paraId="6D9A1C7E">
      <w:r>
        <w:rPr>
          <w:b/>
        </w:rPr>
        <w:t xml:space="preserve">3.3. </w:t>
      </w:r>
      <w:r>
        <w:t>Плательщик НПД заверяет, что имеет право применять данный режим, соблюдает ограничения закона № 422-ФЗ, не утратил статус и не оказывает услуги своему текущему либо бывшему работодателю в течение установленного законом двухлетнего периода в случаях, когда такие доходы не признаются объектом НПД.</w:t>
      </w:r>
    </w:p>
    <w:p w14:paraId="52DD97BA">
      <w:r>
        <w:rPr>
          <w:b/>
        </w:rPr>
        <w:t xml:space="preserve">3.4. </w:t>
      </w:r>
      <w:r>
        <w:t>Лицо, применяющее НПД, не вправе фактически осуществлять деятельность, которую закон относит к запрещённой посреднической деятельности по агентским договорам, комиссии или поручения. Если согласованная модель услуг или реальные действия требуют участия в сделках и переговоров от имени Заказчика, НПД-статус для такого сотрудничества использовать нельзя; необходима отдельная правовая модель.</w:t>
      </w:r>
    </w:p>
    <w:p w14:paraId="5B56E217">
      <w:r>
        <w:rPr>
          <w:b/>
        </w:rPr>
        <w:t xml:space="preserve">3.5. </w:t>
      </w:r>
      <w:r>
        <w:t>Партнёр обязан уведомить Заказчика об утрате или изменении налогового статуса не позднее следующего рабочего дня после того, как ему стало об этом известно; Заказчик вправе проверять статус НПД в сервисах ФНС перед выплатами.</w:t>
      </w:r>
    </w:p>
    <w:p w14:paraId="292D1C34">
      <w:r>
        <w:rPr>
          <w:b/>
        </w:rPr>
        <w:t xml:space="preserve">3.6. </w:t>
      </w:r>
      <w:r>
        <w:t>Предоставление заведомо ложных сведений, использование чужих учётных данных и передача третьим лицам персональных кодов доступа запрещены. Если Партнёр — ИП, права и обязанности по Оферте возникают у соответствующего ИП.</w:t>
      </w:r>
    </w:p>
    <w:p w14:paraId="6D851100">
      <w:pPr>
        <w:pStyle w:val="164"/>
      </w:pPr>
      <w:r>
        <w:t>4. РАЗМЕЩЕНИЕ ОФЕРТЫ, АКЦЕПТ И ЭЛЕКТРОННАЯ ПОДПИСЬ</w:t>
      </w:r>
    </w:p>
    <w:p w14:paraId="725D098C">
      <w:r>
        <w:rPr>
          <w:b/>
        </w:rPr>
        <w:t xml:space="preserve">4.1. </w:t>
      </w:r>
      <w:r>
        <w:t>Текст действующей Оферты, её редакция, дата публикации, приложения, тарифы и сведения об Оференте размещаются на одной доступной для сохранения и печати странице Сайта. Партнёру предоставляется возможность открыть и сохранить документ до акцепта.</w:t>
      </w:r>
    </w:p>
    <w:p w14:paraId="665C9D39">
      <w:r>
        <w:rPr>
          <w:b/>
        </w:rPr>
        <w:t xml:space="preserve">4.2. </w:t>
      </w:r>
      <w:r>
        <w:t>Акцепт заключается в совокупности следующих действий: (1) заполнение регистрационной формы и подтверждение электронной почты или телефона одноразовым кодом; (2) проставление отдельной НЕ предустановленной отметки «Согласен с публичной офертой [редакция, дата]»; (3) нажатие «Принять оферту и зарегистрироваться» (или однозначной по смыслу кнопки); (4) успешная фиксация этого события сервером Заказчика.</w:t>
      </w:r>
    </w:p>
    <w:p w14:paraId="34D672D6">
      <w:r>
        <w:rPr>
          <w:b/>
        </w:rPr>
        <w:t xml:space="preserve">4.3. </w:t>
      </w:r>
      <w:r>
        <w:t>Договор считается заключённым в момент поступления Заказчику полного и безоговорочного акцепта по п. 4.2 и фиксации его системой. Принятие Оферты не означает, что уже переданы или оплачены какие-либо лиды.</w:t>
      </w:r>
    </w:p>
    <w:p w14:paraId="3FCE734B">
      <w:r>
        <w:rPr>
          <w:b/>
        </w:rPr>
        <w:t xml:space="preserve">4.4. </w:t>
      </w:r>
      <w:r>
        <w:t>Простая электронная подпись (ПЭП) в рамках взаимодействия через ЛК представляет собой индивидуальное сочетание идентификатора учётной записи и одноразового кода подтверждения/секретных средств аутентификации, назначенных и используемых по правилам Сайта. Стороны на основании ст. 160 ГК РФ и ст. 6 и 9 закона № 63-ФЗ признают документы и действия, подписанные указанной ПЭП, равнозначными документам с собственноручной подписью в пределах, допускаемых законом.</w:t>
      </w:r>
    </w:p>
    <w:p w14:paraId="4F7F4EDD">
      <w:r>
        <w:rPr>
          <w:b/>
        </w:rPr>
        <w:t xml:space="preserve">4.5. </w:t>
      </w:r>
      <w:r>
        <w:t>Лицо, совершающее электронное действие, определяется по проверенному телефону/e-mail, идентификатору учётной записи, факту успешного подтверждения одноразовым кодом и электронным журналам, содержащим дату, время, редакцию документа, способ подтверждения и технические идентификаторы. Заказчик обеспечивает возможность выгрузки сведений о принятой редакции и подтверждении акцепта.</w:t>
      </w:r>
    </w:p>
    <w:p w14:paraId="3A6E695A">
      <w:r>
        <w:rPr>
          <w:b/>
        </w:rPr>
        <w:t xml:space="preserve">4.6. </w:t>
      </w:r>
      <w:r>
        <w:t>Партнёр обязан сохранять конфиденциальность пароля, одноразовых кодов и средств доступа, незамедлительно уведомлять о компрометации учётной записи. До получения уведомления действия подтверждённой учётной записи презюмируются совершёнными её владельцем, если не доказано иное; положения закона об оспаривании электронного документа сохраняются.</w:t>
      </w:r>
    </w:p>
    <w:p w14:paraId="37EB378E">
      <w:r>
        <w:rPr>
          <w:b/>
        </w:rPr>
        <w:t xml:space="preserve">4.7. </w:t>
      </w:r>
      <w:r>
        <w:t>Электронный акцепт Оферты не является согласием на рекламные рассылки и не подменяет отдельное согласие на обработку персональных данных в случаях, когда оно необходимо. Обязательная обработка данных для исполнения договора осуществляется на предусмотренном законом основании; отдельные согласия оформляются отдельно.</w:t>
      </w:r>
    </w:p>
    <w:p w14:paraId="3D0819AE">
      <w:r>
        <w:rPr>
          <w:b/>
        </w:rPr>
        <w:t xml:space="preserve">4.8. </w:t>
      </w:r>
      <w:r>
        <w:t>Если на стороне Заказчика возник технический сбой, подтверждённый акцепт восстанавливается по логам, сообщениям с проверенного e-mail/телефона и иным допустимым доказательствам. Инструкция по серверным данным фиксации предусмотрена приложением № 4.</w:t>
      </w:r>
    </w:p>
    <w:p w14:paraId="5F5433BB">
      <w:pPr>
        <w:pStyle w:val="164"/>
      </w:pPr>
      <w:r>
        <w:t>5. ПОРЯДОК ПРИВЛЕЧЕНИЯ, РЕГИСТРАЦИИ И ПРОВЕРКИ ЛИДОВ</w:t>
      </w:r>
    </w:p>
    <w:p w14:paraId="38DC8630">
      <w:r>
        <w:rPr>
          <w:b/>
        </w:rPr>
        <w:t xml:space="preserve">5.1. </w:t>
      </w:r>
      <w:r>
        <w:t>Основной способ привлечения — предоставление потенциальному клиенту персональной реферальной ссылки или кода, после чего клиент сам заполняет форму на Сайте и самостоятельно направляет свои контактные данные непосредственно Заказчику.</w:t>
      </w:r>
    </w:p>
    <w:p w14:paraId="2A21FC4D">
      <w:r>
        <w:rPr>
          <w:b/>
        </w:rPr>
        <w:t xml:space="preserve">5.2. </w:t>
      </w:r>
      <w:r>
        <w:t>Система фиксирует ID Партнёра, дату и время обращения, ID обращения, идентификатор клиента (для организации при наличии — ИНН) и минимальную информацию о цели обращения. При сомнении в законности обработки персональных данных действует ограничение раздела 10.</w:t>
      </w:r>
    </w:p>
    <w:p w14:paraId="6D6B256E">
      <w:r>
        <w:rPr>
          <w:b/>
        </w:rPr>
        <w:t xml:space="preserve">5.3. </w:t>
      </w:r>
      <w:r>
        <w:t>В течение 5 (пяти) рабочих дней Заказчик направляет в ЛК статус «принят», «отклонён» либо «запрошено уточнение». Отсутствие ответа по истечении этого срока означает предварительное принятие регистрации по зафиксированному времени, но не признание сделки Закрытым лидом.</w:t>
      </w:r>
    </w:p>
    <w:p w14:paraId="721DBC7B">
      <w:r>
        <w:rPr>
          <w:b/>
        </w:rPr>
        <w:t xml:space="preserve">5.4. </w:t>
      </w:r>
      <w:r>
        <w:t>Одна организация с единым ИНН в рамках одного проекта и одно физическое лицо не могут образовывать несколько оплачиваемых лидов вследствие смены контактов или повторного ввода. Для отдельных юридических лиц группы компаний совпадение бренда само по себе не исключает самостоятельного лида.</w:t>
      </w:r>
    </w:p>
    <w:p w14:paraId="3F650DFB">
      <w:r>
        <w:rPr>
          <w:b/>
        </w:rPr>
        <w:t xml:space="preserve">5.5. </w:t>
      </w:r>
      <w:r>
        <w:t>Приоритет определения Партнёра принадлежит первому корректно зарегистрированному обращению, подтверждённому ЛК/серверным журналом или резервным каналом. Если несколько реферальных ссылок использованы в одной заявке, применяется идентификатор, который был записан системой в момент первого согласованного обращения клиента.</w:t>
      </w:r>
    </w:p>
    <w:p w14:paraId="0FC37907">
      <w:r>
        <w:rPr>
          <w:b/>
        </w:rPr>
        <w:t xml:space="preserve">5.6. </w:t>
      </w:r>
      <w:r>
        <w:t>Основания мотивированного отказа: документально подтверждённая более ранняя регистрация у другого Партнёра; активные персонализированные переговоры Заказчика с тем же клиентом о сопоставимом проекте за последние 180 дней; действующий договор Заказчика с клиентом на тот же проект; фиктивное обращение; отсутствие реального интереса клиента; недостоверные сведения; незаконное получение/передача персональных данных.</w:t>
      </w:r>
    </w:p>
    <w:p w14:paraId="4AC40510">
      <w:r>
        <w:rPr>
          <w:b/>
        </w:rPr>
        <w:t xml:space="preserve">5.7. </w:t>
      </w:r>
      <w:r>
        <w:t>Отказ по п. 5.6 фиксируется с указанием причины и доступного подтверждения, не раскрывающего чужую коммерческую тайну и персональные данные. Немотивированная отмена принятого лида задним числом не допускается.</w:t>
      </w:r>
    </w:p>
    <w:p w14:paraId="51D0C9FA">
      <w:r>
        <w:rPr>
          <w:b/>
        </w:rPr>
        <w:t xml:space="preserve">5.8. </w:t>
      </w:r>
      <w:r>
        <w:t>Партнёр вправе подать возражение в течение 10 рабочих дней после отказа; Заказчик рассматривает его в течение 10 рабочих дней. При недоступности ЛК резервный канал передачи: goodexplorer49@gmail.com. Датированное резервное сообщение учитывается как доказательство времени первичной передачи.</w:t>
      </w:r>
    </w:p>
    <w:p w14:paraId="359583FA">
      <w:r>
        <w:rPr>
          <w:b/>
        </w:rPr>
        <w:t xml:space="preserve">5.9. </w:t>
      </w:r>
      <w:r>
        <w:t>Продвижение услуг может выполняться Партнёром самостоятельно лишь законными способами, без массовых несанкционированных рассылок, автоматических звонков, спама, введения клиентов в заблуждение и неправомерного использования бренда. Платная реклама, размещаемая от имени Заказчика или с применением его товарного знака, требует отдельного согласования; применяются требования рекламного законодательства.</w:t>
      </w:r>
    </w:p>
    <w:p w14:paraId="2E3567EF">
      <w:pPr>
        <w:pStyle w:val="164"/>
      </w:pPr>
      <w:r>
        <w:t>6. ЗАКРЫТЫЙ ЛИД, РЕЗУЛЬТАТ УСЛУГ И ПЕРИОД АТРИБУЦИИ</w:t>
      </w:r>
    </w:p>
    <w:p w14:paraId="377BB749">
      <w:r>
        <w:rPr>
          <w:b/>
        </w:rPr>
        <w:t xml:space="preserve">6.1. </w:t>
      </w:r>
      <w:r>
        <w:t>Право на вознаграждение возникает по одному конкретному лиду при одновременном наличии: (а) статуса Квалифицированного лида; (б) заключённого непосредственно между Заказчиком и данным клиентом договора об оказании IT-услуг; (в) цены IT-услуг по правилам п. 6.4 не ниже 100 000 рублей; (г) поступления первого платежа на счёт Заказчика; (д) истечения 14 календарных дней со дня первого платежа без полного возврата этой оплаты по причине отказа клиента, не вызванного нарушением Заказчика.</w:t>
      </w:r>
    </w:p>
    <w:p w14:paraId="5F9C9A1B">
      <w:r>
        <w:rPr>
          <w:b/>
        </w:rPr>
        <w:t xml:space="preserve">6.2. </w:t>
      </w:r>
      <w:r>
        <w:t>Датой закрытия признаётся последняя дата выполнения условий п. 6.1. Регистрация обращения, предварительные переговоры, запрос сметы, направление коммерческого предложения или неоплаченный договор не являются Закрытым лидом.</w:t>
      </w:r>
    </w:p>
    <w:p w14:paraId="00F8DF73">
      <w:r>
        <w:rPr>
          <w:b/>
        </w:rPr>
        <w:t xml:space="preserve">6.3. </w:t>
      </w:r>
      <w:r>
        <w:t>Клиентский договор должен быть заключён и первая оплата должна поступить в течение 180 календарных дней с момента корректной регистрации лида. Если 14-дневная проверка завершилась позже окончания периода, право на выплату сохраняется; доказанное искусственное затягивание подписания/приёма оплаты в целях обхода условий не допускается.</w:t>
      </w:r>
    </w:p>
    <w:p w14:paraId="003327D8">
      <w:r>
        <w:rPr>
          <w:b/>
        </w:rPr>
        <w:t xml:space="preserve">6.4. </w:t>
      </w:r>
      <w:r>
        <w:t>Стоимость проекта определяется по согласованной цене собственных IT-услуг Заказчика в клиентском договоре (включая НДС, если предъявлен клиенту), за вычетом согласованных скидок; отдельно оплачиваемые транзитные лицензии, услуги третьих лиц и хозяйственные расходы, не составляющие услуги Заказчика, не учитываются. Искусственное дробление одного проекта на несколько договоров с тем же клиентом в пределах 30 дней не допускается для обхода порога.</w:t>
      </w:r>
    </w:p>
    <w:p w14:paraId="6B2B468B">
      <w:r>
        <w:rPr>
          <w:b/>
        </w:rPr>
        <w:t xml:space="preserve">6.5. </w:t>
      </w:r>
      <w:r>
        <w:t>Вознаграждение предоставляется один раз за первый Закрытый лид соответствующего клиента и проекта. Продление контракта, абонентские платежи и повторные обращения того же клиента не создают самостоятельного второго права на вознаграждение, если иное явно не согласовано в дополнительном электронном задании до передачи повторного лида.</w:t>
      </w:r>
    </w:p>
    <w:p w14:paraId="4F8EFF3D">
      <w:r>
        <w:rPr>
          <w:b/>
        </w:rPr>
        <w:t xml:space="preserve">6.6. </w:t>
      </w:r>
      <w:r>
        <w:t>Если первый платёж возвращён полностью вследствие ненадлежащего исполнения обязательств самим Заказчиком, он не вправе ссылаться исключительно на такой возврат для отказа в вознаграждении Партнёру, добросовестно выполнившему условия оказания услуг. Спор разрешается с учётом фактических обстоятельств и принципа добросовестности.</w:t>
      </w:r>
    </w:p>
    <w:p w14:paraId="04F3E545">
      <w:r>
        <w:rPr>
          <w:b/>
        </w:rPr>
        <w:t xml:space="preserve">6.7. </w:t>
      </w:r>
      <w:r>
        <w:t>После признания лида Закрытым последующий обычный возврат, перерасчёт или изменение клиентского договора по причинам, не связанным с фиктивностью обращения или недобросовестными действиями Партнёра, не прекращает уже возникшее право на вознаграждение.</w:t>
      </w:r>
    </w:p>
    <w:p w14:paraId="53330172">
      <w:r>
        <w:rPr>
          <w:b/>
        </w:rPr>
        <w:t xml:space="preserve">6.8. </w:t>
      </w:r>
      <w:r>
        <w:t>Заказчик добросовестно ведёт учёт сделок, не скрывает событие закрытия, предоставляет Партнёру в пределах допустимого обезличенные подтверждения цены, оплаты и даты статуса; коммерческая тайна клиента не подлежит раскрытию сверх необходимого.</w:t>
      </w:r>
    </w:p>
    <w:p w14:paraId="06BB0CED">
      <w:pPr>
        <w:pStyle w:val="164"/>
      </w:pPr>
      <w:r>
        <w:t>7. ТАРИФЫ, ПОРЯДОК РАСЧЁТА И ВЫПЛАТЫ</w:t>
      </w:r>
    </w:p>
    <w:p w14:paraId="40219946">
      <w:r>
        <w:rPr>
          <w:b/>
        </w:rPr>
        <w:t xml:space="preserve">7.1. </w:t>
      </w:r>
      <w:r>
        <w:t>Вознаграждение является единовременной фиксированной платой за каждый Закрытый лид в размере, определённом приложением № 1. Ежемесячная ставка, оклад, минимальный гарантированный доход и оплата незакрытых лидов отсутствуют.</w:t>
      </w:r>
    </w:p>
    <w:p w14:paraId="14A4A0AF">
      <w:r>
        <w:rPr>
          <w:b/>
        </w:rPr>
        <w:t xml:space="preserve">7.2. </w:t>
      </w:r>
      <w:r>
        <w:t>По редакции № 1 базовый тариф составляет 10 000 рублей за первый проект стоимостью от 100 000 до 199 999,99 рубля и 15 000 рублей за проект стоимостью от 200 000 рублей; для проектов до 100 000 рублей вознаграждение не начисляется.</w:t>
      </w:r>
    </w:p>
    <w:p w14:paraId="06C6F20E">
      <w:r>
        <w:rPr>
          <w:b/>
        </w:rPr>
        <w:t xml:space="preserve">7.3. </w:t>
      </w:r>
      <w:r>
        <w:t>Размер вознаграждения по зарегистрированному лиду определяется редакцией тарифа, действовавшей при первой корректной регистрации данного лида. Изменение тарифа после регистрации не может ухудшать согласованные условия для уже зарегистрированного лида.</w:t>
      </w:r>
    </w:p>
    <w:p w14:paraId="5C4FD511">
      <w:r>
        <w:rPr>
          <w:b/>
        </w:rPr>
        <w:t xml:space="preserve">7.4. </w:t>
      </w:r>
      <w:r>
        <w:t>В течение 5 рабочих дней после завершения календарного месяца Заказчик формирует электронный реестр Закрытых лидов (приложение № 3) и предоставляет Партнёру возможность проверки. Партнёр вправе направить мотивированные возражения в течение 5 рабочих дней; отсутствие возражений позволяет использовать реестр как подтверждение, но не лишает предусмотренных законом прав на оспаривание.</w:t>
      </w:r>
    </w:p>
    <w:p w14:paraId="3DCFA703">
      <w:r>
        <w:rPr>
          <w:b/>
        </w:rPr>
        <w:t xml:space="preserve">7.5. </w:t>
      </w:r>
      <w:r>
        <w:t>Выплата по каждому Закрытому лиду осуществляется безналичным переводом в течение 15 рабочих дней с даты закрытия при наличии банковских реквизитов и сведений, обязательных по закону. Формирование месячного реестра само по себе не переносит указанный срок. Обнаруженные ошибки исправляются отдельной корректирующей записью.</w:t>
      </w:r>
    </w:p>
    <w:p w14:paraId="25DBAE2C">
      <w:r>
        <w:rPr>
          <w:b/>
        </w:rPr>
        <w:t xml:space="preserve">7.6. </w:t>
      </w:r>
      <w:r>
        <w:t>Суммы в приложении № 1 — полная договорная стоимость услуг Партнёра до уплаты им собственных налогов. Дополнительные расходы на рекламу, связь и поиск клиентов Партнёр несёт самостоятельно, если отдельным письменным соглашением сторон не согласовано возмещение; императивные последствия прекращения договора по ст. 782 ГК РФ сохраняются.</w:t>
      </w:r>
    </w:p>
    <w:p w14:paraId="0AC50F14">
      <w:r>
        <w:rPr>
          <w:b/>
        </w:rPr>
        <w:t xml:space="preserve">7.7. </w:t>
      </w:r>
      <w:r>
        <w:t>Заказчик вправе приостановить перечисление конкретной спорной суммы на время обоснованной проверки нарушения условий, уведомив Партнёра с указанием причины, но не более чем на 15 рабочих дней без объективной необходимости дополнительной проверки. Бесспорные суммы выплачиваются в обычные сроки.</w:t>
      </w:r>
    </w:p>
    <w:p w14:paraId="59E6201F">
      <w:r>
        <w:rPr>
          <w:b/>
        </w:rPr>
        <w:t xml:space="preserve">7.8. </w:t>
      </w:r>
      <w:r>
        <w:t>Не допускаются произвольные удержания, снижение размера вознаграждения «по усмотрению» Заказчика и отмена Закрытого лида без доказанного основания. Законный зачёт взаимных требований и последствия доказанного мошенничества регулируются законом.</w:t>
      </w:r>
    </w:p>
    <w:p w14:paraId="3CC1EF94">
      <w:pPr>
        <w:pStyle w:val="164"/>
      </w:pPr>
      <w:r>
        <w:t>8. НАЛОГИ, СТАТУС НПД И ПОДТВЕРЖДАЮЩИЕ ДОКУМЕНТЫ</w:t>
      </w:r>
    </w:p>
    <w:p w14:paraId="77E3E699">
      <w:r>
        <w:rPr>
          <w:b/>
        </w:rPr>
        <w:t xml:space="preserve">8.1. </w:t>
      </w:r>
      <w:r>
        <w:t>Партнёр — плательщик НПД самостоятельно исполняет свои налоговые обязанности в пределах, предусмотренных законом № 422-ФЗ; при получении выплаты формирует и передаёт Заказчику чек через «Мой налог» в установленный законом срок с корректным указанием ИНН Заказчика.</w:t>
      </w:r>
    </w:p>
    <w:p w14:paraId="42495980">
      <w:r>
        <w:rPr>
          <w:b/>
        </w:rPr>
        <w:t xml:space="preserve">8.2. </w:t>
      </w:r>
      <w:r>
        <w:t>До выплаты Заказчик может проверять налоговый статус НПД в сервисах ФНС по ИНН на релевантную дату. Партнёр обязан без промедления уведомлять об отмене чека и направлять исправленный чек, если это предусмотрено законом и соответствует фактическому расчёту.</w:t>
      </w:r>
    </w:p>
    <w:p w14:paraId="1EDF2682">
      <w:r>
        <w:rPr>
          <w:b/>
        </w:rPr>
        <w:t xml:space="preserve">8.3. </w:t>
      </w:r>
      <w:r>
        <w:t>Партнёр — ИП на ином налоговом режиме самостоятельно уплачивает налоги и предоставляет предусмотренные законодательством документы. Налоги и страховые взносы Заказчик исчисляет и уплачивает только в случаях, когда такая обязанность возложена на него законом применительно к фактическому статусу получателя выплаты.</w:t>
      </w:r>
    </w:p>
    <w:p w14:paraId="2B4F9192">
      <w:r>
        <w:rPr>
          <w:b/>
        </w:rPr>
        <w:t xml:space="preserve">8.4. </w:t>
      </w:r>
      <w:r>
        <w:t>При утрате Партнёром статуса НПД Заказчик и Партнёр до следующих выплат определяют применимый законный порядок налогообложения и документооборота. Это не освобождает Заказчика от оплаты уже надлежаще оказанных услуг и выполнения им установленных законом обязанностей налогового агента и плательщика взносов, если таковые возникают.</w:t>
      </w:r>
    </w:p>
    <w:p w14:paraId="2FC71367">
      <w:r>
        <w:rPr>
          <w:b/>
        </w:rPr>
        <w:t xml:space="preserve">8.5. </w:t>
      </w:r>
      <w:r>
        <w:t>Налоговая квалификация определяется фактическими действиями сторон и законодательством, а не названием Договора. Если фактическая деятельность имеет посреднический характер, несовместимый с НПД, применение режима должно быть прекращено в соответствующей части и выбран допустимый порядок оформления.</w:t>
      </w:r>
    </w:p>
    <w:p w14:paraId="7DD6AEED">
      <w:pPr>
        <w:pStyle w:val="164"/>
      </w:pPr>
      <w:r>
        <w:t>9. ПРАВА И ОБЯЗАННОСТИ СТОРОН</w:t>
      </w:r>
    </w:p>
    <w:p w14:paraId="125719BC">
      <w:r>
        <w:rPr>
          <w:b/>
        </w:rPr>
        <w:t xml:space="preserve">9.1. </w:t>
      </w:r>
      <w:r>
        <w:t>Заказчик обязуется поддерживать официальный канал учёта лидов и хранить журнал регистрации; в установленные сроки рассматривать заявки, вести реестр начислений и производить причитающиеся выплаты; информировать Партнёра об изменении редакции Оферты; соблюдать конфиденциальность и требования к персональным данным.</w:t>
      </w:r>
    </w:p>
    <w:p w14:paraId="13F40744">
      <w:r>
        <w:rPr>
          <w:b/>
        </w:rPr>
        <w:t xml:space="preserve">9.2. </w:t>
      </w:r>
      <w:r>
        <w:t>Заказчик вправе самостоятельно определять коммерческие условия, объём и необходимость заключения договоров с клиентами, проверять достоверность лидов, пресекать нарушения, ограничивать доступ в ЛК при признаках компрометации или противоправных действий с сохранением доказательств и права Партнёра на бесспорные выплаты.</w:t>
      </w:r>
    </w:p>
    <w:p w14:paraId="4FEC375E">
      <w:r>
        <w:rPr>
          <w:b/>
        </w:rPr>
        <w:t xml:space="preserve">9.3. </w:t>
      </w:r>
      <w:r>
        <w:t>Партнёр обязан использовать достоверную информацию об услугах, не вводить клиентов в заблуждение, не обещать не утверждённые Заказчиком результаты, соблюдать закон о рекламе и персональных данных, не выдавать себя за работника или представителя Заказчика и не использовать незаконные методы привлечения.</w:t>
      </w:r>
    </w:p>
    <w:p w14:paraId="7F3D8ED5">
      <w:r>
        <w:rPr>
          <w:b/>
        </w:rPr>
        <w:t xml:space="preserve">9.4. </w:t>
      </w:r>
      <w:r>
        <w:t>Партнёр вправе самостоятельно выбирать способы и время информирования в пределах закона, получать сведения о статусе собственных лидов, возражать по основаниям отказа, получать предусмотренные выплаты и прекращать Договор в установленном порядке.</w:t>
      </w:r>
    </w:p>
    <w:p w14:paraId="56E35956">
      <w:r>
        <w:rPr>
          <w:b/>
        </w:rPr>
        <w:t xml:space="preserve">9.5. </w:t>
      </w:r>
      <w:r>
        <w:t>Партнёр несёт ответственность за содержание созданной им рекламы, если действует самостоятельно и не уполномочен Заказчиком на размещение. Условия совместного размещения рекламы, её маркировки и распределения обязанностей по передаче данных в ЕРИР согласуются в отдельном документе, когда соответствующие требования применимы.</w:t>
      </w:r>
    </w:p>
    <w:p w14:paraId="20C2081E">
      <w:pPr>
        <w:pStyle w:val="164"/>
      </w:pPr>
      <w:r>
        <w:t>10. ПЕРСОНАЛЬНЫЕ ДАННЫЕ И КОНФИДЕНЦИАЛЬНОСТЬ</w:t>
      </w:r>
    </w:p>
    <w:p w14:paraId="5AA5DC3E">
      <w:r>
        <w:rPr>
          <w:b/>
        </w:rPr>
        <w:t xml:space="preserve">10.1. </w:t>
      </w:r>
      <w:r>
        <w:t>Заказчик обрабатывает персональные данные Партнёра, необходимые для регистрации, исполнения и подтверждения Договора, на основаниях, предусмотренных ст. 6 закона № 152-ФЗ. Политика обработки персональных данных размещается на Сайте по адресу [ССЫЛКА НА ПОЛИТИКУ].</w:t>
      </w:r>
    </w:p>
    <w:p w14:paraId="01B022D9">
      <w:r>
        <w:rPr>
          <w:b/>
        </w:rPr>
        <w:t xml:space="preserve">10.2. </w:t>
      </w:r>
      <w:r>
        <w:t>Партнёр НЕ передаёт Заказчику персональные данные потенциального клиента без законного основания. Предпочтительный и основной сценарий — потенциальный клиент самостоятельно заполняет форму непосредственно на Сайте Заказчика. Если используется другой сценарий, правовое основание передачи должно быть проверено и задокументировано до передачи.</w:t>
      </w:r>
    </w:p>
    <w:p w14:paraId="745A807E">
      <w:r>
        <w:rPr>
          <w:b/>
        </w:rPr>
        <w:t xml:space="preserve">10.3. </w:t>
      </w:r>
      <w:r>
        <w:t>Согласие на обработку персональных данных, когда оно требуется, оформляется отдельно от текста Оферты и иных документов; предварительно установленные отметки и объединение акцепта Оферты с согласием на рекламные сообщения не используются.</w:t>
      </w:r>
    </w:p>
    <w:p w14:paraId="33611AB4">
      <w:r>
        <w:rPr>
          <w:b/>
        </w:rPr>
        <w:t xml:space="preserve">10.4. </w:t>
      </w:r>
      <w:r>
        <w:t>Реклама посредством телефонных звонков, сообщений и иных сетей электросвязи допускается только при наличии предварительного согласия адресата в случаях, предусмотренных ст. 18 закона № 38-ФЗ. Партнёр не вправе рассылать массовую рекламу от имени Заказчика без подтверждённого согласия и отдельного письменного разрешения.</w:t>
      </w:r>
    </w:p>
    <w:p w14:paraId="052229D3">
      <w:r>
        <w:rPr>
          <w:b/>
        </w:rPr>
        <w:t xml:space="preserve">10.5. </w:t>
      </w:r>
      <w:r>
        <w:t>Стороны ограничивают доступ к полученным при исполнении Договора конфиденциальным сведениям, используют их только для целей сотрудничества, применяют разумные меры безопасности и не передают третьим лицам без законного основания. Обязательства по конфиденциальности действуют в период Договора и 3 года после его прекращения, если закон не требует иного.</w:t>
      </w:r>
    </w:p>
    <w:p w14:paraId="00CA929D">
      <w:r>
        <w:rPr>
          <w:b/>
        </w:rPr>
        <w:t xml:space="preserve">10.6. </w:t>
      </w:r>
      <w:r>
        <w:t>Если привлекаются обработчики данных, сторонние сервисы аналитики, CRM и иные участники обработки, Заказчик отдельно оформляет необходимые документы и обеспечивает соблюдение применимых требований 152-ФЗ; сама Оферта не заменяет поручение на обработку персональных данных и политику сайта.</w:t>
      </w:r>
    </w:p>
    <w:p w14:paraId="170B39B3">
      <w:pPr>
        <w:pStyle w:val="164"/>
      </w:pPr>
      <w:r>
        <w:t>11. ИСПОЛЬЗОВАНИЕ ОБОЗНАЧЕНИЙ, РЕКЛАМНЫХ МАТЕРИАЛОВ И ИНФОРМАЦИИ</w:t>
      </w:r>
    </w:p>
    <w:p w14:paraId="26BBDFD3">
      <w:r>
        <w:rPr>
          <w:b/>
        </w:rPr>
        <w:t xml:space="preserve">11.1. </w:t>
      </w:r>
      <w:r>
        <w:t>Партнёру предоставляется неисключительное, непередаваемое, отзывное разрешение использовать только опубликованные Заказчиком сведения об услугах и предоставленные реферальные ссылки для целей Договора. Право на товарный знак, логотип, фирменное наименование или иные объекты интеллектуальной собственности не передаётся.</w:t>
      </w:r>
    </w:p>
    <w:p w14:paraId="63F3A784">
      <w:r>
        <w:rPr>
          <w:b/>
        </w:rPr>
        <w:t xml:space="preserve">11.2. </w:t>
      </w:r>
      <w:r>
        <w:t>Использование имени GoodExplorer в доменном имени, платной рекламе, сообщениях «от имени компании», создании аккаунтов-клонов, выдаче себя за официальный канал поддержки без отдельного разрешения запрещается.</w:t>
      </w:r>
    </w:p>
    <w:p w14:paraId="4C6752F6">
      <w:r>
        <w:rPr>
          <w:b/>
        </w:rPr>
        <w:t xml:space="preserve">11.3. </w:t>
      </w:r>
      <w:r>
        <w:t>При публичном продвижении Партнёр самостоятельно проверяет соответствие материала закону № 38-ФЗ, включая требования о маркировке интернет-рекламы и передаче данных, если материал подпадает под понятие рекламы и соответствующие обязанности. Отдельное соглашение об осуществлении рекламных функций не считается заключённым автоматически.</w:t>
      </w:r>
    </w:p>
    <w:p w14:paraId="2546556A">
      <w:pPr>
        <w:pStyle w:val="164"/>
      </w:pPr>
      <w:r>
        <w:t>12. ОТВЕТСТВЕННОСТЬ И СПОРЫ О ЛИДАХ</w:t>
      </w:r>
    </w:p>
    <w:p w14:paraId="2E32EBA1">
      <w:r>
        <w:rPr>
          <w:b/>
        </w:rPr>
        <w:t xml:space="preserve">12.1. </w:t>
      </w:r>
      <w:r>
        <w:t>Стороны отвечают за нарушение обязательств по Договору в соответствии с законом РФ. Никакое условие Оферты не исключает ответственность за умышленное нарушение и не ограничивает императивные права стороны.</w:t>
      </w:r>
    </w:p>
    <w:p w14:paraId="250AC100">
      <w:r>
        <w:rPr>
          <w:b/>
        </w:rPr>
        <w:t xml:space="preserve">12.2. </w:t>
      </w:r>
      <w:r>
        <w:t>При подозрении в искусственной регистрации, накрутке, подмене источника, использовании чужих персональных данных, фиктивных сделках или сговоре Заказчик проводит документируемую проверку и предоставляет мотивированное решение. Партнёр вправе представить возражения и доказательства.</w:t>
      </w:r>
    </w:p>
    <w:p w14:paraId="61B869E9">
      <w:r>
        <w:rPr>
          <w:b/>
        </w:rPr>
        <w:t xml:space="preserve">12.3. </w:t>
      </w:r>
      <w:r>
        <w:t>Взаимные претензии по статусу лидов, расчётам и датам закрытия разрешаются по неизменяемым записям событий ЛК, данным CRM, документам клиента, банковским подтверждениям и другим допустимым доказательствам. Сведения о клиентах предоставляются с соблюдением режима персональных данных и коммерческой тайны.</w:t>
      </w:r>
    </w:p>
    <w:p w14:paraId="2D3A1790">
      <w:r>
        <w:rPr>
          <w:b/>
        </w:rPr>
        <w:t xml:space="preserve">12.4. </w:t>
      </w:r>
      <w:r>
        <w:t>Невозможность закрыть лид вследствие свободного коммерческого решения реального клиента сама по себе не является нарушением Договора. В то же время недобросовестное сокрытие Заказчиком факта сделки для обхода выплаты недопустимо.</w:t>
      </w:r>
    </w:p>
    <w:p w14:paraId="6CFE0662">
      <w:pPr>
        <w:pStyle w:val="164"/>
      </w:pPr>
      <w:r>
        <w:t>13. СРОК ДЕЙСТВИЯ, ИЗМЕНЕНИЕ ОФЕРТЫ И ПРЕКРАЩЕНИЕ</w:t>
      </w:r>
    </w:p>
    <w:p w14:paraId="1BC2BA22">
      <w:r>
        <w:rPr>
          <w:b/>
        </w:rPr>
        <w:t xml:space="preserve">13.1. </w:t>
      </w:r>
      <w:r>
        <w:t>Договор вступает в силу при акцепте и действует без ограничения срока до прекращения в установленном порядке. Каждая версия Оферты хранится Заказчиком с датой действия и неизменяемым идентификатором, доступным Партнёру.</w:t>
      </w:r>
    </w:p>
    <w:p w14:paraId="3C05304B">
      <w:r>
        <w:rPr>
          <w:b/>
        </w:rPr>
        <w:t xml:space="preserve">13.2. </w:t>
      </w:r>
      <w:r>
        <w:t>Заказчик вправе прекратить приём новых акцептов или разместить новую редакцию Оферты. Новые условия применяются к существующему Партнёру только после его отдельного подтверждения (нового акцепта). Для ранее зарегистрированных лидов сохраняются редакция, тарифы и сроки, действовавшие на момент регистрации.</w:t>
      </w:r>
    </w:p>
    <w:p w14:paraId="0ACB38BC">
      <w:r>
        <w:rPr>
          <w:b/>
        </w:rPr>
        <w:t xml:space="preserve">13.3. </w:t>
      </w:r>
      <w:r>
        <w:t>О предстоящем изменении тарифов или закрытии приёма новых лидов по действующей версии Заказчик уведомляет в ЛК и по проверенному адресу электронной почты не позднее чем за 10 календарных дней. Такое уведомление не отменяет уже возникших прав и не является односторонним изменением существующего тарифа.</w:t>
      </w:r>
    </w:p>
    <w:p w14:paraId="5847394F">
      <w:r>
        <w:rPr>
          <w:b/>
        </w:rPr>
        <w:t xml:space="preserve">13.4. </w:t>
      </w:r>
      <w:r>
        <w:t>Каждая сторона вправе отказаться от дальнейшего исполнения Договора с учётом ст. 782 ГК РФ, уведомив другую сторону через ЛК или юридически значимым сообщением. Дата прекращения новых регистраций определяется сообщением, но законные права на оплату и последствия одностороннего отказа сохраняются.</w:t>
      </w:r>
    </w:p>
    <w:p w14:paraId="69F87E54">
      <w:r>
        <w:rPr>
          <w:b/>
        </w:rPr>
        <w:t xml:space="preserve">13.5. </w:t>
      </w:r>
      <w:r>
        <w:t>После прекращения Договора Заказчик продолжает учитывать лиды, зарегистрированные до прекращения, до завершения их периода атрибуции, а при наступлении условий Закрытого лида выплачивает вознаграждение в прежнем размере. Прекращение доступа в ЛК само по себе не отменяет принятые лиды.</w:t>
      </w:r>
    </w:p>
    <w:p w14:paraId="434C542B">
      <w:r>
        <w:rPr>
          <w:b/>
        </w:rPr>
        <w:t xml:space="preserve">13.6. </w:t>
      </w:r>
      <w:r>
        <w:t>При одностороннем отказе действуют императивные правила ст. 782 ГК РФ о фактически понесённых расходах и убытках. Раздел о выплатах только за Закрытые лиды не отменяет право стороны требовать то, что прямо предусмотрено императивной нормой закона.</w:t>
      </w:r>
    </w:p>
    <w:p w14:paraId="609B008D">
      <w:r>
        <w:rPr>
          <w:b/>
        </w:rPr>
        <w:t xml:space="preserve">13.7. </w:t>
      </w:r>
      <w:r>
        <w:t>Обязательства о конфиденциальности, защите данных, расчётах по ранее принятым лидам, ответственности и разрешении споров сохраняются на соответствующие сроки и после прекращения Договора.</w:t>
      </w:r>
    </w:p>
    <w:p w14:paraId="0C336567">
      <w:pPr>
        <w:pStyle w:val="164"/>
      </w:pPr>
      <w:r>
        <w:t>14. ЭЛЕКТРОННЫЕ СООБЩЕНИЯ, ПРЕТЕНЗИИ И РАЗРЕШЕНИЕ СПОРОВ</w:t>
      </w:r>
    </w:p>
    <w:p w14:paraId="5C133CE1">
      <w:r>
        <w:rPr>
          <w:b/>
        </w:rPr>
        <w:t xml:space="preserve">14.1. </w:t>
      </w:r>
      <w:r>
        <w:t>Стороны признают юридически значимыми сообщения, направленные через ЛК, а также по проверенной электронной почте Партнёра и адресу Заказчика goodexplorer49@gmail.com. Для спорных сообщений система сохраняет содержание и дату доставки; применяется ст. 165.1 ГК РФ.</w:t>
      </w:r>
    </w:p>
    <w:p w14:paraId="4CE2492E">
      <w:r>
        <w:rPr>
          <w:b/>
        </w:rPr>
        <w:t xml:space="preserve">14.2. </w:t>
      </w:r>
      <w:r>
        <w:t>Претензия излагается письменно с указанием регистрационного номера лида, требований и доступных доказательств. Получившая сторона отвечает в течение 15 рабочих дней. Обязательный порядок, если установлен процессуальным законом, подлежит соблюдению независимо от условий Оферты.</w:t>
      </w:r>
    </w:p>
    <w:p w14:paraId="44B54FD3">
      <w:r>
        <w:rPr>
          <w:b/>
        </w:rPr>
        <w:t xml:space="preserve">14.3. </w:t>
      </w:r>
      <w:r>
        <w:t>Споры подлежат разрешению в компетентном суде Российской Федерации в соответствии с правилами подведомственности и подсудности. Недопустимо ограничивать установленные законом способы судебной защиты и обязательные права физического лица.</w:t>
      </w:r>
    </w:p>
    <w:p w14:paraId="0A7A4FB2">
      <w:r>
        <w:rPr>
          <w:b/>
        </w:rPr>
        <w:t xml:space="preserve">14.4. </w:t>
      </w:r>
      <w:r>
        <w:t>Применимое право — законодательство Российской Федерации.</w:t>
      </w:r>
    </w:p>
    <w:p w14:paraId="78D1D968">
      <w:pPr>
        <w:pStyle w:val="164"/>
      </w:pPr>
      <w:r>
        <w:t>15. НЕПРЕОДОЛИМАЯ СИЛА</w:t>
      </w:r>
    </w:p>
    <w:p w14:paraId="161B8D99">
      <w:r>
        <w:rPr>
          <w:b/>
        </w:rPr>
        <w:t xml:space="preserve">15.1. </w:t>
      </w:r>
      <w:r>
        <w:t>Сторона освобождается от ответственности за неисполнение или ненадлежащее исполнение обязательств при доказанности обстоятельств непреодолимой силы в смысле ст. 401 ГК РФ и причинной связи. Отсутствие спроса, обычные технические сбои, недостаток денежных средств либо отказ потенциального клиента от сделки сами по себе не являются непреодолимой силой.</w:t>
      </w:r>
    </w:p>
    <w:p w14:paraId="406F8BA6">
      <w:r>
        <w:rPr>
          <w:b/>
        </w:rPr>
        <w:t xml:space="preserve">15.2. </w:t>
      </w:r>
      <w:r>
        <w:t>Сторона уведомляет другую о препятствии в разумный срок и принимает доступные меры для уменьшения последствий. Неисполненные денежные обязательства не прекращаются автоматически вследствие форс-мажора.</w:t>
      </w:r>
    </w:p>
    <w:p w14:paraId="78CC82AC">
      <w:pPr>
        <w:pStyle w:val="164"/>
      </w:pPr>
      <w:r>
        <w:t>16. ЗАКЛЮЧИТЕЛЬНЫЕ ПОЛОЖЕНИЯ</w:t>
      </w:r>
    </w:p>
    <w:p w14:paraId="2C21EC8D">
      <w:r>
        <w:rPr>
          <w:b/>
        </w:rPr>
        <w:t xml:space="preserve">16.1. </w:t>
      </w:r>
      <w:r>
        <w:t>Неотъемлемые части Оферты: приложение № 1 «Тарифы и критерии закрытия»; приложение № 2 «Регламент регистрации и атрибуции лидов»; приложение № 3 «Форма реестра закрытых лидов и акта»; приложение № 4 «Порядок электронного взаимодействия и журнал акцепта». Все приложения публикуются в одной редакции с Офертой.</w:t>
      </w:r>
    </w:p>
    <w:p w14:paraId="48EE9FC3">
      <w:r>
        <w:rPr>
          <w:b/>
        </w:rPr>
        <w:t xml:space="preserve">16.2. </w:t>
      </w:r>
      <w:r>
        <w:t>Если одно из положений признано недействительным, остальные сохраняют действие в пределах, допускаемых законом. При противоречии Оферты императивной норме применяется такая норма.</w:t>
      </w:r>
    </w:p>
    <w:p w14:paraId="33677CD9">
      <w:r>
        <w:rPr>
          <w:b/>
        </w:rPr>
        <w:t xml:space="preserve">16.3. </w:t>
      </w:r>
      <w:r>
        <w:t>Оферта не является публичным договором в значении ст. 426 ГК РФ и не создаёт обязанности Заказчика заключить договор с любым потенциальным клиентом по услугам разработки. Присоединение к Оферте не означает поступления на работу.</w:t>
      </w:r>
    </w:p>
    <w:p w14:paraId="2FD27D3B">
      <w:r>
        <w:rPr>
          <w:b/>
        </w:rPr>
        <w:t xml:space="preserve">16.4. </w:t>
      </w:r>
      <w:r>
        <w:t>Текст Оферты, сведения о регистрации, реестр лидов и документы о выплатах хранятся в течение сроков, необходимых для исполнения обязательств и выполнения требований законодательства, с соблюдением правил хранения и удаления персональных данных.</w:t>
      </w:r>
    </w:p>
    <w:p w14:paraId="5C2513AC">
      <w:pPr>
        <w:pStyle w:val="164"/>
      </w:pPr>
      <w:r>
        <w:t>17. РЕКВИЗИТЫ ОФЕРЕНТА И СВЕДЕНИЯ ДЛЯ СВЯЗИ</w:t>
      </w:r>
    </w:p>
    <w:p w14:paraId="3374C523">
      <w:pPr>
        <w:pStyle w:val="168"/>
      </w:pPr>
      <w:r>
        <w:t>Оферент: Ланько Максимильян Витальевич (коммерческое обозначение GoodExplorer)</w:t>
      </w:r>
    </w:p>
    <w:p w14:paraId="0C001263">
      <w:pPr>
        <w:pStyle w:val="168"/>
      </w:pPr>
      <w:r>
        <w:t>ОГРН/ОГРНИП: 322774600539886     ИНН/КПП: 772353814001</w:t>
      </w:r>
    </w:p>
    <w:p w14:paraId="0785EE3B">
      <w:pPr>
        <w:pStyle w:val="168"/>
      </w:pPr>
      <w:r>
        <w:t>Адрес места нахождения / регистрации: улица Перерва, д. 31, кв./оф. 378, г. Москва</w:t>
      </w:r>
    </w:p>
    <w:p w14:paraId="344B59B2">
      <w:pPr>
        <w:pStyle w:val="168"/>
      </w:pPr>
      <w:r>
        <w:t>Почтовый адрес (если отличается):</w:t>
      </w:r>
      <w:r>
        <w:rPr>
          <w:rFonts w:hint="default"/>
          <w:lang w:val="ru-RU"/>
        </w:rPr>
        <w:t xml:space="preserve"> </w:t>
      </w:r>
      <w:r>
        <w:t>улица Перерва, д. 31, кв./оф. 378, г. Москва</w:t>
      </w:r>
    </w:p>
    <w:p w14:paraId="7F6B26D6">
      <w:pPr>
        <w:pStyle w:val="168"/>
      </w:pPr>
      <w:r>
        <w:t>Электронная почта для юридически значимых сообщений: goodexplorer49@gmail.com</w:t>
      </w:r>
    </w:p>
    <w:p w14:paraId="1F78C151">
      <w:pPr>
        <w:pStyle w:val="168"/>
      </w:pPr>
      <w:r>
        <w:t>Электронная почта для резервной регистрации лидов: goodexplorer49@gmail.com</w:t>
      </w:r>
    </w:p>
    <w:p w14:paraId="5A51EB9C">
      <w:pPr>
        <w:pStyle w:val="168"/>
      </w:pPr>
      <w:r>
        <w:t>Сайт и страница публикации Оферты: https://195-133-25-125.sslip.io/</w:t>
      </w:r>
    </w:p>
    <w:p w14:paraId="44F834AE">
      <w:pPr>
        <w:pStyle w:val="168"/>
      </w:pPr>
      <w:r>
        <w:t xml:space="preserve">Расчётный счёт: </w:t>
      </w:r>
      <w:r>
        <w:rPr>
          <w:rFonts w:hint="default"/>
        </w:rPr>
        <w:t>40802810301060001520</w:t>
      </w:r>
      <w:r>
        <w:t xml:space="preserve">     Банк: </w:t>
      </w:r>
      <w:r>
        <w:rPr>
          <w:rFonts w:hint="default"/>
        </w:rPr>
        <w:t>АО Альфа-Банк</w:t>
      </w:r>
    </w:p>
    <w:p w14:paraId="59EAC59A">
      <w:pPr>
        <w:pStyle w:val="168"/>
      </w:pPr>
      <w:r>
        <w:t xml:space="preserve">БИК: </w:t>
      </w:r>
      <w:r>
        <w:rPr>
          <w:rFonts w:hint="default"/>
        </w:rPr>
        <w:t>044525593</w:t>
      </w:r>
      <w:r>
        <w:t xml:space="preserve">     Корр. счёт: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30101810200000000593</w:t>
      </w:r>
    </w:p>
    <w:p w14:paraId="039466D9">
      <w:pPr>
        <w:pStyle w:val="168"/>
      </w:pPr>
      <w:r>
        <w:t>Подпись Партнёра на бумаге не требуется при надлежащем электронном акцепте по разделу 4; факт принятия фиксируется системой по приложению № 4.</w:t>
      </w:r>
    </w:p>
    <w:p w14:paraId="74792C01">
      <w:pPr>
        <w:ind w:left="0" w:leftChars="0" w:firstLine="0" w:firstLineChars="0"/>
      </w:pPr>
    </w:p>
    <w:sectPr>
      <w:headerReference r:id="rId6" w:type="first"/>
      <w:headerReference r:id="rId5" w:type="default"/>
      <w:pgSz w:w="11906" w:h="16838"/>
      <w:pgMar w:top="1191" w:right="850" w:bottom="1134" w:left="1701" w:header="510" w:footer="567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557035">
    <w:pPr>
      <w:pStyle w:val="19"/>
      <w:spacing w:after="0"/>
      <w:jc w:val="center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PAGE</w:instrText>
    </w:r>
    <w:r>
      <w:rPr>
        <w:rFonts w:ascii="Times New Roman" w:hAnsi="Times New Roman"/>
        <w:sz w:val="20"/>
      </w:rPr>
      <w:fldChar w:fldCharType="separate"/>
    </w:r>
    <w:r>
      <w:rPr>
        <w:rFonts w:ascii="Times New Roman" w:hAnsi="Times New Roman"/>
        <w:sz w:val="20"/>
      </w:rPr>
      <w:t>2</w:t>
    </w:r>
    <w:r>
      <w:rPr>
        <w:rFonts w:ascii="Times New Roman" w:hAnsi="Times New Roman"/>
        <w:sz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9CB6A">
    <w:pPr>
      <w:pStyle w:val="1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99F6F00"/>
    <w:rsid w:val="48A612F1"/>
    <w:rsid w:val="633B5488"/>
    <w:rsid w:val="7913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pacing w:before="0" w:after="60" w:line="276" w:lineRule="auto"/>
      <w:ind w:firstLine="709"/>
      <w:jc w:val="both"/>
    </w:pPr>
    <w:rPr>
      <w:rFonts w:ascii="Times New Roman" w:hAnsi="Times New Roman" w:eastAsiaTheme="minorEastAsia" w:cstheme="minorBidi"/>
      <w:color w:val="000000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uiPriority w:val="99"/>
    <w:pPr>
      <w:spacing w:after="120"/>
    </w:pPr>
  </w:style>
  <w:style w:type="paragraph" w:styleId="21">
    <w:name w:val="macro"/>
    <w:link w:val="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6">
    <w:name w:val="footer"/>
    <w:basedOn w:val="1"/>
    <w:link w:val="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uiPriority w:val="99"/>
    <w:pPr>
      <w:ind w:left="720" w:hanging="360"/>
      <w:contextualSpacing/>
    </w:pPr>
  </w:style>
  <w:style w:type="paragraph" w:styleId="35">
    <w:name w:val="List 3"/>
    <w:basedOn w:val="1"/>
    <w:unhideWhenUsed/>
    <w:uiPriority w:val="99"/>
    <w:pPr>
      <w:ind w:left="1080" w:hanging="360"/>
      <w:contextualSpacing/>
    </w:p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19"/>
    <w:uiPriority w:val="99"/>
  </w:style>
  <w:style w:type="character" w:customStyle="1" w:styleId="38">
    <w:name w:val="Footer Char"/>
    <w:basedOn w:val="11"/>
    <w:link w:val="26"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25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1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20"/>
    <w:uiPriority w:val="99"/>
  </w:style>
  <w:style w:type="character" w:customStyle="1" w:styleId="47">
    <w:name w:val="Body Text 2 Char"/>
    <w:basedOn w:val="11"/>
    <w:link w:val="16"/>
    <w:uiPriority w:val="99"/>
  </w:style>
  <w:style w:type="character" w:customStyle="1" w:styleId="48">
    <w:name w:val="Body Text 3 Char"/>
    <w:basedOn w:val="11"/>
    <w:link w:val="30"/>
    <w:uiPriority w:val="99"/>
    <w:rPr>
      <w:sz w:val="16"/>
      <w:szCs w:val="16"/>
    </w:rPr>
  </w:style>
  <w:style w:type="character" w:customStyle="1" w:styleId="49">
    <w:name w:val="Macro Text Char"/>
    <w:basedOn w:val="11"/>
    <w:link w:val="21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paragraph" w:customStyle="1" w:styleId="164">
    <w:name w:val="H1"/>
    <w:basedOn w:val="1"/>
    <w:uiPriority w:val="0"/>
    <w:pPr>
      <w:keepNext/>
      <w:keepLines/>
      <w:spacing w:before="200" w:after="120"/>
      <w:ind w:firstLine="0"/>
      <w:jc w:val="left"/>
    </w:pPr>
    <w:rPr>
      <w:rFonts w:ascii="Times New Roman" w:hAnsi="Times New Roman"/>
      <w:b/>
      <w:color w:val="000000"/>
      <w:sz w:val="24"/>
    </w:rPr>
  </w:style>
  <w:style w:type="paragraph" w:customStyle="1" w:styleId="165">
    <w:name w:val="H2"/>
    <w:basedOn w:val="1"/>
    <w:uiPriority w:val="0"/>
    <w:pPr>
      <w:keepNext/>
      <w:spacing w:before="140" w:after="60"/>
      <w:ind w:firstLine="0"/>
    </w:pPr>
    <w:rPr>
      <w:b/>
      <w:sz w:val="24"/>
    </w:rPr>
  </w:style>
  <w:style w:type="paragraph" w:customStyle="1" w:styleId="166">
    <w:name w:val="Small"/>
    <w:basedOn w:val="1"/>
    <w:uiPriority w:val="0"/>
    <w:pPr>
      <w:spacing w:after="80"/>
      <w:ind w:firstLine="0"/>
      <w:jc w:val="center"/>
    </w:pPr>
    <w:rPr>
      <w:sz w:val="20"/>
    </w:rPr>
  </w:style>
  <w:style w:type="paragraph" w:customStyle="1" w:styleId="167">
    <w:name w:val="TableText"/>
    <w:basedOn w:val="1"/>
    <w:uiPriority w:val="0"/>
    <w:pPr>
      <w:spacing w:after="0" w:line="240" w:lineRule="auto"/>
      <w:ind w:firstLine="0"/>
      <w:jc w:val="left"/>
    </w:pPr>
    <w:rPr>
      <w:sz w:val="20"/>
    </w:rPr>
  </w:style>
  <w:style w:type="paragraph" w:customStyle="1" w:styleId="168">
    <w:name w:val="Subtle"/>
    <w:basedOn w:val="1"/>
    <w:uiPriority w:val="0"/>
    <w:pPr>
      <w:spacing w:after="40"/>
      <w:ind w:firstLine="0"/>
    </w:pPr>
    <w:rPr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GoodExplorer — проект для согласования</dc:creator>
  <dc:description>generated by python-docx</dc:description>
  <cp:keywords>реферальная программа; публичная оферта; ГК РФ; ГОСТ Р 7.0.97-2025</cp:keywords>
  <cp:lastModifiedBy>Pc User</cp:lastModifiedBy>
  <dcterms:modified xsi:type="dcterms:W3CDTF">2026-11-03T12:42:21Z</dcterms:modified>
  <dc:subject>Проект договора для размещения на сайте, редакция №1</dc:subject>
  <dc:title>Публичная оферта GoodExplorer о реферальных информационно-маркетинговых услугах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A72C98187FC440CB9E1A3A7C7EC08E1A_13</vt:lpwstr>
  </property>
</Properties>
</file>