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ETitle"/>
      </w:pPr>
      <w:r>
        <w:t>СОГЛАСИЕ ПОТЕНЦИАЛЬНОГО КЛИЕНТА</w:t>
      </w:r>
    </w:p>
    <w:p>
      <w:pPr>
        <w:pStyle w:val="GESubtitle"/>
      </w:pPr>
      <w:r>
        <w:t>на обработку персональных данных при обращении за IT-услугами через реферальную ссылку GoodExplorer</w:t>
      </w:r>
    </w:p>
    <w:p>
      <w:pPr>
        <w:pStyle w:val="GETop"/>
        <w:jc w:val="center"/>
      </w:pPr>
      <w:r>
        <w:t>Редакция № 1 от 03.11.2026</w:t>
      </w:r>
    </w:p>
    <w:p>
      <w:pPr>
        <w:pStyle w:val="GETop"/>
        <w:jc w:val="center"/>
      </w:pPr>
      <w:r>
        <w:t>Место издания: г. Королёв</w:t>
      </w:r>
    </w:p>
    <w:p>
      <w:pPr>
        <w:pStyle w:val="GENote"/>
        <w:widowControl/>
      </w:pPr>
      <w:r>
        <w:t>Форма для обращения, которое потенциальный клиент отправляет САМОСТОЯТЕЛЬНО с сайта GoodExplorer. Отдельное согласие на рекламу данная форма не содержит. Если сведения клиента собирает и пересылает сам партнёр, необходимо отдельно установить правовое основание и документы соответствующего сценария.</w:t>
      </w:r>
    </w:p>
    <w:p>
      <w:pPr>
        <w:pStyle w:val="GESection"/>
      </w:pPr>
      <w:r>
        <w:t>1. ОПЕРАТОР И ОБРАЩЕНИЕ</w:t>
      </w:r>
    </w:p>
    <w:p>
      <w:pPr>
        <w:widowControl/>
      </w:pPr>
      <w:r>
        <w:rPr>
          <w:b/>
        </w:rPr>
        <w:t xml:space="preserve">1.1. </w:t>
      </w:r>
      <w:r>
        <w:t>Оператор: Ланько Максимильян Витальевич; адрес улица Перерва, д. 31, кв./оф. 378, г. Москва; ИНН 772353814001; ОГРН/ОГРНИП 322774600539886; адрес страницы сбора данных: https://195-133-25-125.sslip.io/; e-mail по вопросам персональных данных: goodexplorer49@gmail.com.</w:t>
      </w:r>
    </w:p>
    <w:p>
      <w:pPr>
        <w:widowControl/>
      </w:pPr>
      <w:r>
        <w:rPr>
          <w:b/>
        </w:rPr>
        <w:t xml:space="preserve">1.2. </w:t>
      </w:r>
      <w:r>
        <w:t>Субъект — физическое лицо, самостоятельно направляющее запрос на разработку сайта, сервиса, интеграцию, AI-решение или другую цифровую услугу: Ф.И.О. [_____________], телефон [_____________], e-mail [_____________]. Отдельные поля могут не заполняться, если это не препятствует ответу на обращение.</w:t>
      </w:r>
    </w:p>
    <w:p>
      <w:pPr>
        <w:widowControl/>
      </w:pPr>
      <w:r>
        <w:rPr>
          <w:b/>
        </w:rPr>
        <w:t xml:space="preserve">1.3. </w:t>
      </w:r>
      <w:r>
        <w:t>Я подтверждаю, что направляю запрос добровольно и понимаю, что реферальная ссылка может содержать код партнёра, по которому Компания учитывает источник обращения и выплату партнёру за результат в рамках опубликованной Программы.</w:t>
      </w:r>
    </w:p>
    <w:p>
      <w:pPr>
        <w:pStyle w:val="GESection"/>
      </w:pPr>
      <w:r>
        <w:t>2. ЦЕЛЬ И СОСТАВ ДАННЫХ</w:t>
      </w:r>
    </w:p>
    <w:p>
      <w:pPr>
        <w:widowControl/>
      </w:pPr>
      <w:r>
        <w:rPr>
          <w:b/>
        </w:rPr>
        <w:t xml:space="preserve">2.1. </w:t>
      </w:r>
      <w:r>
        <w:t>Я даю согласие на обработку моих данных для получения и рассмотрения моего обращения, связи со мной удобным указанным способом по существу заявки, уточнения требований, подготовки коммерческого предложения и учёта источника обращения с использованием внутреннего реферального кода.</w:t>
      </w:r>
    </w:p>
    <w:p>
      <w:pPr>
        <w:widowControl/>
      </w:pPr>
      <w:r>
        <w:rPr>
          <w:b/>
        </w:rPr>
        <w:t xml:space="preserve">2.2. </w:t>
      </w:r>
      <w:r>
        <w:t>Перечень данных: имя (Ф.И.О., если предоставлено); контактный телефон, e-mail; организация и должность при наличии; описание запроса; информация о проекте, добровольно внесённая в форму; желаемый канал обратной связи; дата/время и источник обращения; технические данные формы и идентификатор реферального перехода.</w:t>
      </w:r>
    </w:p>
    <w:p>
      <w:pPr>
        <w:widowControl/>
      </w:pPr>
      <w:r>
        <w:rPr>
          <w:b/>
        </w:rPr>
        <w:t xml:space="preserve">2.3. </w:t>
      </w:r>
      <w:r>
        <w:t>Обработка осуществляется на основании настоящего согласия в необходимой части; кроме того, при обращении непосредственно за заключением договора по моей инициативе могут применяться иные законные основания, в том числе пункт 5 части 1 статьи 6 закона № 152-ФЗ.</w:t>
      </w:r>
    </w:p>
    <w:p>
      <w:pPr>
        <w:widowControl/>
      </w:pPr>
      <w:r>
        <w:rPr>
          <w:b/>
        </w:rPr>
        <w:t xml:space="preserve">2.4. </w:t>
      </w:r>
      <w:r>
        <w:t>В тексте свободного обращения не следует передавать паспортные данные, сведения о здоровье, банковские пароли, документы третьих лиц или другие не требуемые для первичной консультации данные.</w:t>
      </w:r>
    </w:p>
    <w:p>
      <w:pPr>
        <w:pStyle w:val="GESection"/>
      </w:pPr>
      <w:r>
        <w:t>3. ДЕЙСТВИЯ С ДАННЫМИ И РАСКРЫТИЕ</w:t>
      </w:r>
    </w:p>
    <w:p>
      <w:pPr>
        <w:widowControl/>
      </w:pPr>
      <w:r>
        <w:rPr>
          <w:b/>
        </w:rPr>
        <w:t xml:space="preserve">3.1. </w:t>
      </w:r>
      <w:r>
        <w:t>Разрешаю сбор, запись, хранение, систематизацию, уточнение, извлечение, использование, передачу лицам, обрабатывающим данные по законному поручению Оператора, блокирование, удаление и уничтожение в автоматизированном и неавтоматизированном виде.</w:t>
      </w:r>
    </w:p>
    <w:p>
      <w:pPr>
        <w:widowControl/>
      </w:pPr>
      <w:r>
        <w:rPr>
          <w:b/>
        </w:rPr>
        <w:t xml:space="preserve">3.2. </w:t>
      </w:r>
      <w:r>
        <w:t>Мои контактные данные передаются непосредственно Оператору через его форму. Партнёр, по чьей ссылке я перешёл(ла), не получает от Оператора мои контактные данные; ему могут быть видны внутренний код, статус заявки и результат, необходимый для учёта его вознаграждения, без избыточных идентифицирующих сведений.</w:t>
      </w:r>
    </w:p>
    <w:p>
      <w:pPr>
        <w:widowControl/>
      </w:pPr>
      <w:r>
        <w:rPr>
          <w:b/>
        </w:rPr>
        <w:t xml:space="preserve">3.3. </w:t>
      </w:r>
      <w:r>
        <w:t>Оператор может использовать хостинг, CRM, коммуникационные сервисы при наличии законного основания и необходимого соглашения о поручении обработки; фактические обработчики указываются в Политике: [ПОСТОЯННЫЙ URL].</w:t>
      </w:r>
    </w:p>
    <w:p>
      <w:pPr>
        <w:widowControl/>
      </w:pPr>
      <w:r>
        <w:rPr>
          <w:b/>
        </w:rPr>
        <w:t xml:space="preserve">3.4. </w:t>
      </w:r>
      <w:r>
        <w:t>Настоящее согласие не является разрешением на массовые рекламные рассылки, рекламные звонки, публикацию моих сведений либо передачу данных неограниченному кругу лиц.</w:t>
      </w:r>
    </w:p>
    <w:p>
      <w:pPr>
        <w:pStyle w:val="GESection"/>
      </w:pPr>
      <w:r>
        <w:t>4. СРОК, ОТЗЫВ И ПРАВА</w:t>
      </w:r>
    </w:p>
    <w:p>
      <w:pPr>
        <w:widowControl/>
      </w:pPr>
      <w:r>
        <w:rPr>
          <w:b/>
        </w:rPr>
        <w:t xml:space="preserve">4.1. </w:t>
      </w:r>
      <w:r>
        <w:t>Согласие действует с момента документируемого предоставления до достижения цели ответа на мой запрос, но не более 12 месяцев после последнего содержательного взаимодействия при отсутствии договора, если не возникло иное предусмотренное законом основание обработки. При заключении договора сведения могут обрабатываться по самостоятельным законным основаниям и в установленные законом сроки.</w:t>
      </w:r>
    </w:p>
    <w:p>
      <w:pPr>
        <w:widowControl/>
      </w:pPr>
      <w:r>
        <w:rPr>
          <w:b/>
        </w:rPr>
        <w:t xml:space="preserve">4.2. </w:t>
      </w:r>
      <w:r>
        <w:t>Согласие может быть отозвано сообщением на goodexplorer49@gmail.com или письмом по адресу улица Перерва, д. 31, кв./оф. 378, г. Москва. Обработка по данному согласию прекращается при отсутствии другого правового основания в порядке статьи 21 закона № 152-ФЗ.</w:t>
      </w:r>
    </w:p>
    <w:p>
      <w:pPr>
        <w:widowControl/>
      </w:pPr>
      <w:r>
        <w:rPr>
          <w:b/>
        </w:rPr>
        <w:t xml:space="preserve">4.3. </w:t>
      </w:r>
      <w:r>
        <w:t>Мне разъяснены права на доступ к данным, их уточнение, блокирование и уничтожение, а также право обратиться в Роскомнадзор или суд. С Политикой обработки персональных данных можно ознакомиться по адресу [ПОСТОЯННЫЙ URL].</w:t>
      </w:r>
    </w:p>
    <w:p>
      <w:pPr>
        <w:pStyle w:val="GESection"/>
      </w:pPr>
      <w:r>
        <w:t>5. ФИКСАЦИЯ СОГЛАСИЯ</w:t>
      </w:r>
    </w:p>
    <w:p>
      <w:pPr>
        <w:widowControl/>
      </w:pPr>
      <w:r>
        <w:rPr>
          <w:b/>
        </w:rPr>
        <w:t xml:space="preserve">5.1. </w:t>
      </w:r>
      <w:r>
        <w:t>При электронном обращении я проставляю отдельную непредустановленную отметку «Даю согласие на обработку персональных данных для ответа на мой запрос» и отправляю форму; журнал фиксирует редакцию, дату и время, страницу обращения, событие отметки и иной необходимый подтверждающий контекст.</w:t>
      </w:r>
    </w:p>
    <w:p>
      <w:pPr>
        <w:widowControl/>
      </w:pPr>
      <w:r>
        <w:rPr>
          <w:b/>
        </w:rPr>
        <w:t xml:space="preserve">5.2. </w:t>
      </w:r>
      <w:r>
        <w:t>Для бумажного обращения: Ф.И.О. [________________________], дата «___» __________ 20___ г., подпись [________________]. Для согласий, требующих письменной формы по части 4 статьи 9 закона № 152-ФЗ, состав и способ оформления реквизитов дополняются по закону.</w:t>
      </w:r>
    </w:p>
    <w:sectPr w:rsidR="00FC693F" w:rsidRPr="0006063C" w:rsidSect="00034616">
      <w:headerReference w:type="default" r:id="rId9"/>
      <w:pgSz w:w="11906" w:h="16838"/>
      <w:pgMar w:top="1191" w:right="850" w:bottom="1134" w:left="1701" w:header="482" w:footer="62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ESmall"/>
      <w:jc w:val="center"/>
    </w:pP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ind w:firstLine="709"/>
      <w:jc w:val="both"/>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ETitle">
    <w:name w:val="GE Title"/>
    <w:basedOn w:val="Normal"/>
    <w:pPr>
      <w:keepNext/>
      <w:spacing w:line="276" w:lineRule="auto" w:before="0" w:after="200"/>
      <w:ind w:firstLine="0"/>
      <w:jc w:val="center"/>
    </w:pPr>
    <w:rPr>
      <w:rFonts w:ascii="Times New Roman" w:hAnsi="Times New Roman" w:eastAsia="Times New Roman"/>
      <w:b/>
      <w:color w:val="000000"/>
      <w:sz w:val="28"/>
    </w:rPr>
  </w:style>
  <w:style w:type="paragraph" w:customStyle="1" w:styleId="GESubtitle">
    <w:name w:val="GE Subtitle"/>
    <w:basedOn w:val="Normal"/>
    <w:pPr>
      <w:spacing w:line="276" w:lineRule="auto" w:before="0" w:after="180"/>
      <w:ind w:firstLine="0"/>
      <w:jc w:val="center"/>
    </w:pPr>
    <w:rPr>
      <w:rFonts w:ascii="Times New Roman" w:hAnsi="Times New Roman" w:eastAsia="Times New Roman"/>
      <w:b w:val="0"/>
      <w:color w:val="000000"/>
      <w:sz w:val="24"/>
    </w:rPr>
  </w:style>
  <w:style w:type="paragraph" w:customStyle="1" w:styleId="GESection">
    <w:name w:val="GE Section"/>
    <w:basedOn w:val="Normal"/>
    <w:pPr>
      <w:keepNext/>
      <w:spacing w:line="276" w:lineRule="auto" w:before="180" w:after="100"/>
      <w:ind w:firstLine="0"/>
      <w:jc w:val="left"/>
    </w:pPr>
    <w:rPr>
      <w:rFonts w:ascii="Times New Roman" w:hAnsi="Times New Roman" w:eastAsia="Times New Roman"/>
      <w:b/>
      <w:color w:val="000000"/>
      <w:sz w:val="24"/>
    </w:rPr>
  </w:style>
  <w:style w:type="paragraph" w:customStyle="1" w:styleId="GETable">
    <w:name w:val="GE Table"/>
    <w:basedOn w:val="Normal"/>
    <w:pPr>
      <w:spacing w:line="269" w:lineRule="auto" w:before="0" w:after="0"/>
      <w:ind w:firstLine="0"/>
      <w:jc w:val="both"/>
    </w:pPr>
    <w:rPr>
      <w:rFonts w:ascii="Times New Roman" w:hAnsi="Times New Roman" w:eastAsia="Times New Roman"/>
      <w:b w:val="0"/>
      <w:color w:val="000000"/>
      <w:sz w:val="20"/>
    </w:rPr>
  </w:style>
  <w:style w:type="paragraph" w:customStyle="1" w:styleId="GESmall">
    <w:name w:val="GE Small"/>
    <w:basedOn w:val="Normal"/>
    <w:pPr>
      <w:spacing w:line="276" w:lineRule="auto" w:before="0" w:after="60"/>
      <w:ind w:firstLine="709"/>
      <w:jc w:val="both"/>
    </w:pPr>
    <w:rPr>
      <w:rFonts w:ascii="Times New Roman" w:hAnsi="Times New Roman" w:eastAsia="Times New Roman"/>
      <w:b w:val="0"/>
      <w:color w:val="000000"/>
      <w:sz w:val="20"/>
    </w:rPr>
  </w:style>
  <w:style w:type="paragraph" w:customStyle="1" w:styleId="GENote">
    <w:name w:val="GE Note"/>
    <w:basedOn w:val="Normal"/>
    <w:pPr>
      <w:spacing w:line="276" w:lineRule="auto" w:before="100" w:after="140"/>
      <w:ind w:firstLine="709"/>
      <w:jc w:val="both"/>
    </w:pPr>
    <w:rPr>
      <w:rFonts w:ascii="Times New Roman" w:hAnsi="Times New Roman" w:eastAsia="Times New Roman"/>
      <w:b w:val="0"/>
      <w:color w:val="000000"/>
      <w:sz w:val="22"/>
    </w:rPr>
  </w:style>
  <w:style w:type="paragraph" w:customStyle="1" w:styleId="GETop">
    <w:name w:val="GE Top"/>
    <w:basedOn w:val="Normal"/>
    <w:pPr>
      <w:keepNext/>
      <w:spacing w:line="276" w:lineRule="auto" w:before="0" w:after="100"/>
      <w:ind w:firstLine="0"/>
      <w:jc w:val="left"/>
    </w:pPr>
    <w:rPr>
      <w:rFonts w:ascii="Times New Roman" w:hAnsi="Times New Roman" w:eastAsia="Times New Roman"/>
      <w:b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GoodExplorer — документы по персональным данным</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