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573E8">
      <w:pPr>
        <w:pStyle w:val="164"/>
      </w:pPr>
      <w:r>
        <w:t>ПОЛИТИКА В ОТНОШЕНИИ ОБРАБОТКИ ПЕРСОНАЛЬНЫХ ДАННЫХ</w:t>
      </w:r>
    </w:p>
    <w:p w14:paraId="44DD7B57">
      <w:pPr>
        <w:pStyle w:val="165"/>
      </w:pPr>
      <w:r>
        <w:t>при использовании сайта и участии в реферальной программе GoodExplorer</w:t>
      </w:r>
    </w:p>
    <w:p w14:paraId="7E863738">
      <w:pPr>
        <w:pStyle w:val="170"/>
        <w:jc w:val="center"/>
        <w:rPr>
          <w:rFonts w:hint="default"/>
          <w:lang w:val="ru-RU"/>
        </w:rPr>
      </w:pPr>
      <w:r>
        <w:t xml:space="preserve">Редакция № 1 от </w:t>
      </w:r>
      <w:r>
        <w:rPr>
          <w:rFonts w:hint="default"/>
          <w:lang w:val="ru-RU"/>
        </w:rPr>
        <w:t>03.11.2026</w:t>
      </w:r>
    </w:p>
    <w:p w14:paraId="37289221">
      <w:pPr>
        <w:pStyle w:val="170"/>
        <w:jc w:val="center"/>
        <w:rPr>
          <w:rFonts w:hint="default"/>
          <w:lang w:val="ru-RU"/>
        </w:rPr>
      </w:pPr>
      <w:r>
        <w:t xml:space="preserve">Место издания: </w:t>
      </w:r>
      <w:r>
        <w:rPr>
          <w:lang w:val="ru-RU"/>
        </w:rPr>
        <w:t>г</w:t>
      </w:r>
      <w:r>
        <w:rPr>
          <w:rFonts w:hint="default"/>
          <w:lang w:val="ru-RU"/>
        </w:rPr>
        <w:t>.Королёв</w:t>
      </w:r>
    </w:p>
    <w:p w14:paraId="1D2FFA59">
      <w:pPr>
        <w:pStyle w:val="169"/>
        <w:widowControl/>
      </w:pPr>
      <w:r>
        <w:t>Документ для размещения в открытом доступе на Сайте. До публикации заполнить реквизиты Оператора, адреса интернет-ресурсов, сведения о средствах обработки и трансграничной передаче. Незаполненные квадратные скобки не должны оставаться в опубликованной редакции.</w:t>
      </w:r>
    </w:p>
    <w:p w14:paraId="7BC861E0">
      <w:pPr>
        <w:pStyle w:val="166"/>
      </w:pPr>
      <w:r>
        <w:t>1. ОБЩИЕ ПОЛОЖЕНИЯ</w:t>
      </w:r>
    </w:p>
    <w:p w14:paraId="7522609B">
      <w:pPr>
        <w:widowControl/>
      </w:pPr>
      <w:r>
        <w:rPr>
          <w:b/>
        </w:rPr>
        <w:t xml:space="preserve">1.1. </w:t>
      </w:r>
      <w:r>
        <w:t>Настоящая Политика определяет цели, основания, состав, способы и сроки обработки персональных данных, меры их защиты, а также порядок реализации прав субъектов персональных данных при использовании сайта GoodExplorer и участии в реферальной программе (далее — Программа).</w:t>
      </w:r>
    </w:p>
    <w:p w14:paraId="424C125A">
      <w:pPr>
        <w:widowControl/>
      </w:pPr>
      <w:r>
        <w:rPr>
          <w:b/>
        </w:rPr>
        <w:t xml:space="preserve">1.2. </w:t>
      </w:r>
      <w:r>
        <w:t xml:space="preserve">Оператор персональных данных — </w:t>
      </w:r>
      <w:r>
        <w:rPr>
          <w:rFonts w:hint="default"/>
        </w:rPr>
        <w:t>Ланько Максимильян Витальевич</w:t>
      </w:r>
      <w:r>
        <w:t xml:space="preserve"> (коммерческое обозначение GoodExplorer), адрес: </w:t>
      </w:r>
      <w:r>
        <w:rPr>
          <w:rFonts w:hint="default"/>
        </w:rPr>
        <w:t>улица Перерва, д. 31, кв./оф. 378, г. Москва</w:t>
      </w:r>
      <w:r>
        <w:t xml:space="preserve">, ИНН </w:t>
      </w:r>
      <w:r>
        <w:rPr>
          <w:rFonts w:hint="default"/>
        </w:rPr>
        <w:t>772353814001</w:t>
      </w:r>
      <w:r>
        <w:t xml:space="preserve">, ОГРН/ОГРНИП </w:t>
      </w:r>
      <w:r>
        <w:rPr>
          <w:rFonts w:hint="default"/>
        </w:rPr>
        <w:t>322774600539886</w:t>
      </w:r>
      <w:r>
        <w:t xml:space="preserve">, электронная почта по вопросам персональных данных: </w:t>
      </w:r>
      <w:r>
        <w:rPr>
          <w:rFonts w:hint="default"/>
        </w:rPr>
        <w:t>goodexplorer49@gmail.com</w:t>
      </w:r>
      <w:r>
        <w:t>.</w:t>
      </w:r>
    </w:p>
    <w:p w14:paraId="061FB0ED">
      <w:pPr>
        <w:widowControl/>
      </w:pPr>
      <w:r>
        <w:rPr>
          <w:b/>
        </w:rPr>
        <w:t xml:space="preserve">1.3. </w:t>
      </w:r>
      <w:r>
        <w:t xml:space="preserve">Сайт: </w:t>
      </w:r>
      <w:r>
        <w:rPr>
          <w:rFonts w:hint="default"/>
          <w:color w:val="FF0000"/>
        </w:rPr>
        <w:t>https://195-133-25-125.sslip.io/</w:t>
      </w:r>
      <w:r>
        <w:t>; страница Политики: [ПОСТОЯННЫЙ URL ПОЛИТИКИ]. Документ размещается в открытом доступе на страницах, на которых осуществляется сбор персональных данных, в соответствии со статьёй 18.1 Федерального закона от 27.07.2006 № 152-ФЗ «О персональных данных».</w:t>
      </w:r>
    </w:p>
    <w:p w14:paraId="60299BBC">
      <w:pPr>
        <w:widowControl/>
      </w:pPr>
      <w:r>
        <w:rPr>
          <w:b/>
        </w:rPr>
        <w:t xml:space="preserve">1.4. </w:t>
      </w:r>
      <w:r>
        <w:t>Политика распространяется на посетителей Сайта, зарегистрированных и регистрирующихся партнёров (в том числе плательщиков НПД и ИП), физических лиц — потенциальных заказчиков, а также представителей юридических лиц, обращающихся за IT-услугами. Кадровые отношения и работа SMM-специалистов по иным договорам регулируются отдельными документами.</w:t>
      </w:r>
    </w:p>
    <w:p w14:paraId="5B56DB84">
      <w:pPr>
        <w:widowControl/>
      </w:pPr>
      <w:r>
        <w:rPr>
          <w:b/>
        </w:rPr>
        <w:t xml:space="preserve">1.5. </w:t>
      </w:r>
      <w:r>
        <w:t>Оператор обеспечивает обработку данных по каждому законному основанию и каждой определённой цели отдельно; не использует согласие на обработку персональных данных как замену акцепта Оферты. Отказ от необязательных согласий не лишает субъекта возможности пользоваться функциями, для которых обработка допустима на иных законных основаниях.</w:t>
      </w:r>
    </w:p>
    <w:p w14:paraId="78CAE080">
      <w:pPr>
        <w:widowControl/>
      </w:pPr>
      <w:r>
        <w:rPr>
          <w:b/>
        </w:rPr>
        <w:t xml:space="preserve">1.6. </w:t>
      </w:r>
      <w:r>
        <w:t>В Политике используются термины закона № 152-ФЗ, а для целей Программы — также термины действующей публичной оферты GoodExplorer (зарегистрированный лид, реферальная ссылка, личный кабинет и другие). Политика не изменяет коммерческие условия Оферты.</w:t>
      </w:r>
    </w:p>
    <w:p w14:paraId="49F255A5">
      <w:pPr>
        <w:pStyle w:val="166"/>
      </w:pPr>
      <w:r>
        <w:t>2. ПРАВОВЫЕ ОСНОВАНИЯ И ПРИНЦИПЫ</w:t>
      </w:r>
    </w:p>
    <w:p w14:paraId="4D543587">
      <w:pPr>
        <w:widowControl/>
      </w:pPr>
      <w:r>
        <w:rPr>
          <w:b/>
        </w:rPr>
        <w:t xml:space="preserve">2.1. </w:t>
      </w:r>
      <w:r>
        <w:t>Обработка осуществляется с соблюдением статей 5, 6, 7, 9, 18–22 закона № 152-ФЗ, норм ГК РФ о договорных отношениях, законодательства РФ о бухгалтерском и налоговом учёте, а также иных применимых требований.</w:t>
      </w:r>
    </w:p>
    <w:p w14:paraId="57B23514">
      <w:pPr>
        <w:widowControl/>
      </w:pPr>
      <w:r>
        <w:rPr>
          <w:b/>
        </w:rPr>
        <w:t xml:space="preserve">2.2. </w:t>
      </w:r>
      <w:r>
        <w:t>Обработка допускается, в частности, при получении самостоятельного, конкретного и информированного согласия субъекта; необходимости заключения или исполнения договора по инициативе субъекта либо с его участием; исполнении возложенных законом обязанностей; осуществлении законных интересов Оператора при соблюдении прав и свобод субъекта. Правовые основания различаются в зависимости от цели.</w:t>
      </w:r>
    </w:p>
    <w:p w14:paraId="146FF1AD">
      <w:pPr>
        <w:widowControl/>
      </w:pPr>
      <w:r>
        <w:rPr>
          <w:b/>
        </w:rPr>
        <w:t xml:space="preserve">2.3. </w:t>
      </w:r>
      <w:r>
        <w:t>Обрабатываются только данные, необходимые для заранее определённых целей. Не допускаются избыточная обработка, объединение несовместимых по целям баз данных, хранение дольше обоснованного срока и принятие решений исключительно на основании скрытых несовместимых целей.</w:t>
      </w:r>
    </w:p>
    <w:p w14:paraId="37F99AB7">
      <w:pPr>
        <w:pStyle w:val="166"/>
      </w:pPr>
      <w:r>
        <w:t>3. КАТЕГОРИИ СУБЪЕКТОВ, ЦЕЛИ И СОСТАВ ДАННЫХ</w:t>
      </w:r>
    </w:p>
    <w:p w14:paraId="3E6EB6C5">
      <w:pPr>
        <w:widowControl/>
      </w:pPr>
      <w:r>
        <w:rPr>
          <w:b/>
        </w:rPr>
        <w:t xml:space="preserve">3.1. </w:t>
      </w:r>
      <w:r>
        <w:t>Для регистрации и проверки допустимости участия партнёра в Программе, создания и защиты личного кабинета: Ф.И.О.; статус физического лица, плательщика НПД либо ИП; ИНН; контактный телефон; адрес электронной почты; подтверждение владения каналом связи; идентификатор учётной записи; дата и версия акцептованной Оферты; сведения о подтверждении согласий; применяемый налоговый режим. Основание — подготовка к заключению и исполнение договора; для дополнительных операций — отдельное согласие, если требуется.</w:t>
      </w:r>
    </w:p>
    <w:p w14:paraId="11817554">
      <w:pPr>
        <w:widowControl/>
      </w:pPr>
      <w:r>
        <w:rPr>
          <w:b/>
        </w:rPr>
        <w:t xml:space="preserve">3.2. </w:t>
      </w:r>
      <w:r>
        <w:t>Для учёта реферальных обращений и выполнения взаимных обязательств: идентификатор партнёра, персональная ссылка/код, дата и источник регистрации лида, идентификатор клиента (как правило, обезличенный для партнёра), статусы рассмотрения, квалификации и закрытия, цена клиентского договора в допустимом объёме, сумма вознаграждения, сведения об акте, оспаривании и истории расчётов. Основание — исполнение Оферты и защита законных интересов сторон.</w:t>
      </w:r>
    </w:p>
    <w:p w14:paraId="5502B2F5">
      <w:pPr>
        <w:widowControl/>
      </w:pPr>
      <w:r>
        <w:rPr>
          <w:b/>
        </w:rPr>
        <w:t xml:space="preserve">3.3. </w:t>
      </w:r>
      <w:r>
        <w:t>Для расчётов с партнёрами и налогового документооборота: Ф.И.О./данные ИП, ИНН, реквизиты получателя выплаты, сведения о статусе НПД (при необходимости — дата проверки через сервис ФНС), платёжные операции, акты, чеки НПД, документы, подтверждающие расчёты. Основание — исполнение договора и обязанностей по закону. Паспортные данные и иные избыточные сведения не собираются автоматически и запрашиваются только при реальной правовой необходимости.</w:t>
      </w:r>
    </w:p>
    <w:p w14:paraId="46387541">
      <w:pPr>
        <w:widowControl/>
      </w:pPr>
      <w:r>
        <w:rPr>
          <w:b/>
        </w:rPr>
        <w:t xml:space="preserve">3.4. </w:t>
      </w:r>
      <w:r>
        <w:t>Для ответа на запрос потенциального клиента, самостоятельно направленный через Сайт, реферальную ссылку либо официальную форму: имя (Ф.И.О., если указано), рабочий/личный телефон, e-mail, организация и должность (если сообщены), описание проекта, предпочтительный способ связи, дата обращения, идентификатор источника обращения и переписка по запросу. Основание — подготовка предложения или заключение договора по инициативе субъекта, отдельное согласие либо иное применимое законное основание.</w:t>
      </w:r>
    </w:p>
    <w:p w14:paraId="7501CF07">
      <w:pPr>
        <w:widowControl/>
      </w:pPr>
      <w:r>
        <w:rPr>
          <w:b/>
        </w:rPr>
        <w:t xml:space="preserve">3.5. </w:t>
      </w:r>
      <w:r>
        <w:t>Для обеспечения работоспособности, защиты доступа и фиксации электронных действий на Сайте: сетевые адреса, данные устройства и браузера (user-agent), технические идентификаторы сессии, дата и время входа, журнал OTP-подтверждений, события безопасности, технические cookies и сведения о реферальной атрибуции. Основание — выполнение договора, обеспечение законных интересов в защите системы; для необязательной аналитики — отдельное применимое основание и настройки пользователя.</w:t>
      </w:r>
    </w:p>
    <w:p w14:paraId="73098256">
      <w:pPr>
        <w:widowControl/>
      </w:pPr>
      <w:r>
        <w:rPr>
          <w:b/>
        </w:rPr>
        <w:t xml:space="preserve">3.6. </w:t>
      </w:r>
      <w:r>
        <w:t>Для разбора обращений и защиты прав сторон: содержание запросов, даты обращений, идентификаторы событий, ссылки на документы, переписка по претензиям, необходимые доказательства и результаты рассмотрения. Основание — исполнение договора и защита законных интересов, не нарушающих права субъектов.</w:t>
      </w:r>
    </w:p>
    <w:p w14:paraId="21992512">
      <w:pPr>
        <w:widowControl/>
      </w:pPr>
      <w:r>
        <w:rPr>
          <w:b/>
        </w:rPr>
        <w:t xml:space="preserve">3.7. </w:t>
      </w:r>
      <w:r>
        <w:t>Специальные категории данных (здоровье, политические взгляды, религиозные убеждения и другие), биометрические данные и сведения о несовершеннолетних для целей Программы не запрашиваются. Не следует включать их в свободные поля форм или файлы заявок. При случайном поступлении Оператор принимает меры к исключению таких сведений из обработки, если отсутствует законное основание.</w:t>
      </w:r>
    </w:p>
    <w:p w14:paraId="60B6AC7B">
      <w:pPr>
        <w:pStyle w:val="166"/>
      </w:pPr>
      <w:r>
        <w:t>4. ИСТОЧНИКИ ПОЛУЧЕНИЯ ДАННЫХ</w:t>
      </w:r>
    </w:p>
    <w:p w14:paraId="4764B214">
      <w:pPr>
        <w:widowControl/>
      </w:pPr>
      <w:r>
        <w:rPr>
          <w:b/>
        </w:rPr>
        <w:t xml:space="preserve">4.1. </w:t>
      </w:r>
      <w:r>
        <w:t>Оператор получает данные непосредственно от субъекта через формы Сайта, личный кабинет, проверенную электронную почту, при обращении в поддержку, в ходе оформления документов и расчётов.</w:t>
      </w:r>
    </w:p>
    <w:p w14:paraId="777A82C1">
      <w:pPr>
        <w:widowControl/>
      </w:pPr>
      <w:r>
        <w:rPr>
          <w:b/>
        </w:rPr>
        <w:t xml:space="preserve">4.2. </w:t>
      </w:r>
      <w:r>
        <w:t>Допускается получение технических сведений, возникающих при использовании Сайта, и проверка предоставленных партнёром сведений в официальных государственных информационных сервисах в пределах их доступного правового режима (в частности, проверка статуса НПД через ФНС).</w:t>
      </w:r>
    </w:p>
    <w:p w14:paraId="03F21D04">
      <w:pPr>
        <w:widowControl/>
      </w:pPr>
      <w:r>
        <w:rPr>
          <w:b/>
        </w:rPr>
        <w:t xml:space="preserve">4.3. </w:t>
      </w:r>
      <w:r>
        <w:t>Предпочтительный сценарий привлечения — потенциальный клиент самостоятельно открывает реферальную ссылку и вводит свои контактные сведения непосредственно Оператору. Партнёру не разрешается загружать чужие контакты без документируемого правового основания. Если данные предоставлены третьим лицом, Оператор проверяет основание их получения и исполняет обязанности уведомления, предусмотренные статьёй 18 закона № 152-ФЗ.</w:t>
      </w:r>
    </w:p>
    <w:p w14:paraId="6B88F689">
      <w:pPr>
        <w:pStyle w:val="166"/>
      </w:pPr>
      <w:r>
        <w:t>5. ДЕЙСТВИЯ С ДАННЫМИ И СПОСОБЫ ОБРАБОТКИ</w:t>
      </w:r>
    </w:p>
    <w:p w14:paraId="24769E47">
      <w:pPr>
        <w:widowControl/>
      </w:pPr>
      <w:r>
        <w:rPr>
          <w:b/>
        </w:rPr>
        <w:t xml:space="preserve">5.1. </w:t>
      </w:r>
      <w:r>
        <w:t>Оператор осуществляет сбор, запись, систематизацию, накопление, хранение, уточнение (обновление, изменение), извлечение, использование, передачу (предоставление, доступ) в предусмотренных законом случаях, обезличивание, блокирование, удаление и уничтожение персональных данных. Обработка может быть автоматизированной, неавтоматизированной и смешанной.</w:t>
      </w:r>
    </w:p>
    <w:p w14:paraId="3E6B52E2">
      <w:pPr>
        <w:widowControl/>
      </w:pPr>
      <w:r>
        <w:rPr>
          <w:b/>
        </w:rPr>
        <w:t xml:space="preserve">5.2. </w:t>
      </w:r>
      <w:r>
        <w:t>Оператор не продаёт базы персональных данных и не распространяет персональные данные партнёров или клиентов для неопределённого круга лиц. Данные о конкретных клиентах не предоставляются партнёру сверх объёма, объективно необходимого для подтверждения его права на вознаграждение и допустимого по закону; по общему правилу отображаются внутренний код клиента и статус заявки.</w:t>
      </w:r>
    </w:p>
    <w:p w14:paraId="35680140">
      <w:pPr>
        <w:widowControl/>
      </w:pPr>
      <w:r>
        <w:rPr>
          <w:b/>
        </w:rPr>
        <w:t xml:space="preserve">5.3. </w:t>
      </w:r>
      <w:r>
        <w:t>Публикация отзывов с идентифицирующими сведениями, фотографий, персональных данных в кейсах либо иной открытый показ данных возможны только на самостоятельном законном основании, а при распространении данных с согласия субъекта — с соблюдением статьи 10.1 закона № 152-ФЗ и соответствующих ограничений.</w:t>
      </w:r>
    </w:p>
    <w:p w14:paraId="5E2B1972">
      <w:pPr>
        <w:pStyle w:val="166"/>
      </w:pPr>
      <w:r>
        <w:t>6. COOKIES, ИСТОЧНИК ОБРАЩЕНИЯ И АНАЛИТИКА</w:t>
      </w:r>
    </w:p>
    <w:p w14:paraId="5FDD16B2">
      <w:pPr>
        <w:widowControl/>
      </w:pPr>
      <w:r>
        <w:rPr>
          <w:b/>
        </w:rPr>
        <w:t xml:space="preserve">6.1. </w:t>
      </w:r>
      <w:r>
        <w:t>Сайт может использовать строго необходимые cookies и аналогичные идентификаторы для входа, безопасности сеанса, сохранения технических настроек и корректной работы реферальной ссылки. Идентификатор реферального источника применяется для подтверждения принадлежности заявки партнёру по правилам Оферты.</w:t>
      </w:r>
    </w:p>
    <w:p w14:paraId="4ABF9D4F">
      <w:pPr>
        <w:widowControl/>
      </w:pPr>
      <w:r>
        <w:rPr>
          <w:b/>
        </w:rPr>
        <w:t xml:space="preserve">6.2. </w:t>
      </w:r>
      <w:r>
        <w:t>Необязательные аналитические и рекламные cookies, если они используются и позволяют идентифицировать субъекта, должны обрабатываться при наличии законного основания; пользователю предоставляется понятная информация об их назначении, сроках действия и доступных способах управления.</w:t>
      </w:r>
    </w:p>
    <w:p w14:paraId="76CBFA86">
      <w:pPr>
        <w:widowControl/>
      </w:pPr>
      <w:r>
        <w:rPr>
          <w:b/>
        </w:rPr>
        <w:t xml:space="preserve">6.3. </w:t>
      </w:r>
      <w:r>
        <w:t>Фактический перечень технических средств и сроков хранения cookies: [НАЗВАНИЕ/ТИП COOKIE, ЦЕЛЬ, СРОК, ВЛАДЕЛЕЦ; ИСКЛЮЧИТЬ НЕИСПОЛЬЗУЕМЫЕ]. Конкретные внешние аналитические сервисы: [УКАЗАТЬ ЛИБО «НЕ ПРИМЕНЯЮТСЯ»]. Без заполнения этих сведений данный раздел не отражает фактическую конфигурацию Сайта.</w:t>
      </w:r>
    </w:p>
    <w:p w14:paraId="3E0E6614">
      <w:pPr>
        <w:pStyle w:val="166"/>
      </w:pPr>
      <w:r>
        <w:t>7. ЛИЦА, ПОЛУЧАЮЩИЕ ДАННЫЕ, И ПОРУЧЕНИЕ ОБРАБОТКИ</w:t>
      </w:r>
    </w:p>
    <w:p w14:paraId="051B9A4F">
      <w:pPr>
        <w:widowControl/>
      </w:pPr>
      <w:r>
        <w:rPr>
          <w:b/>
        </w:rPr>
        <w:t xml:space="preserve">7.1. </w:t>
      </w:r>
      <w:r>
        <w:t>Доступ к данным получают уполномоченные лица Оператора в пределах их задач. При необходимости данные могут быть предоставлены банку или платёжному провайдеру для расчётов, государственным органам в случаях, установленных законом, а также подрядчикам, работающим по надлежащему поручению Оператора.</w:t>
      </w:r>
    </w:p>
    <w:p w14:paraId="4F157FF9">
      <w:pPr>
        <w:widowControl/>
      </w:pPr>
      <w:r>
        <w:rPr>
          <w:b/>
        </w:rPr>
        <w:t xml:space="preserve">7.2. </w:t>
      </w:r>
      <w:r>
        <w:t>При поручении обработки другому лицу Оператор заключает соглашение, соответствующее части 3 статьи 6 закона № 152-ФЗ: перечень данных и действий, цели, конфиденциальность, требования безопасности, контроль, обязанности при инцидентах, удаление/возврат данных и применимые требования локализации. Оператор отвечает перед субъектом за действия обработчика в предусмотренном законом объёме.</w:t>
      </w:r>
    </w:p>
    <w:p w14:paraId="060EF396">
      <w:pPr>
        <w:widowControl/>
      </w:pPr>
      <w:r>
        <w:rPr>
          <w:b/>
        </w:rPr>
        <w:t xml:space="preserve">7.3. </w:t>
      </w:r>
      <w:r>
        <w:t xml:space="preserve">Категории фактически используемых обработчиков и их данные подлежат внесению: </w:t>
      </w:r>
      <w:r>
        <w:rPr>
          <w:color w:val="FF0000"/>
        </w:rPr>
        <w:t>[ХОСТИНГ/БАЗЫ ДАННЫХ], [CRM], [ПОЧТОВЫЙ/SMS-ПРОВАЙДЕР], [ПОДДЕРЖКА/АНАЛИТИКА], [ДРУГИЕ]</w:t>
      </w:r>
      <w:r>
        <w:t xml:space="preserve">; если сервис не используется — удалить его. Полный перечень обработчиков, доступный субъекту по запросу: </w:t>
      </w:r>
      <w:r>
        <w:rPr>
          <w:color w:val="FF0000"/>
        </w:rPr>
        <w:t>[АДРЕС ИЛИ СПОСОБ ПОЛУЧЕНИЯ ПЕРЕЧНЯ]</w:t>
      </w:r>
      <w:r>
        <w:t>.</w:t>
      </w:r>
    </w:p>
    <w:p w14:paraId="3E2E99D4">
      <w:pPr>
        <w:widowControl/>
      </w:pPr>
      <w:r>
        <w:rPr>
          <w:b/>
        </w:rPr>
        <w:t xml:space="preserve">7.4. </w:t>
      </w:r>
      <w:r>
        <w:t>Привлечение партнёра к информированию клиента не предполагает передачи партнёру клиентской базы, контактов новых обращений и персональных данных других партнёров. Если меняется модель передачи данных, Политика, согласия и договорная документация пересматриваются до начала такой обработки.</w:t>
      </w:r>
    </w:p>
    <w:p w14:paraId="1B117CE4">
      <w:pPr>
        <w:pStyle w:val="166"/>
      </w:pPr>
      <w:r>
        <w:t>8. РАЗМЕЩЕНИЕ БАЗ ДАННЫХ И ТРАНСГРАНИЧНАЯ ПЕРЕДАЧА</w:t>
      </w:r>
    </w:p>
    <w:p w14:paraId="2A3AFA05">
      <w:pPr>
        <w:widowControl/>
      </w:pPr>
      <w:r>
        <w:rPr>
          <w:b/>
        </w:rPr>
        <w:t xml:space="preserve">8.1. </w:t>
      </w:r>
      <w:r>
        <w:t xml:space="preserve">При сборе персональных данных граждан Российской Федерации, включая сбор через Интернет, Оператор обеспечивает выполнение требования части 5 статьи 18 закона № 152-ФЗ о недопустимости выполнения предусмотренных этой нормой операций с использованием баз данных за пределами РФ, кроме установленных законом исключений. Данные о фактической инфраструктуре: </w:t>
      </w:r>
      <w:r>
        <w:rPr>
          <w:color w:val="FF0000"/>
        </w:rPr>
        <w:t>[ГОРОД РФ, ОПЕРАТОР ХОСТИНГА, УЧЁТ ПОДРЯДЧИКОВ]</w:t>
      </w:r>
      <w:r>
        <w:t>.</w:t>
      </w:r>
    </w:p>
    <w:p w14:paraId="2F778764">
      <w:pPr>
        <w:widowControl/>
      </w:pPr>
      <w:r>
        <w:rPr>
          <w:b/>
        </w:rPr>
        <w:t xml:space="preserve">8.2. </w:t>
      </w:r>
      <w:r>
        <w:t>Фактический статус трансграничной передачи</w:t>
      </w:r>
      <w:r>
        <w:rPr>
          <w:rFonts w:hint="default"/>
          <w:lang w:val="ru-RU"/>
        </w:rPr>
        <w:t xml:space="preserve"> не осуществляется</w:t>
      </w:r>
      <w:r>
        <w:t>. При её осуществлении Оператор заранее выполняет требования статьи 12 закона № 152-ФЗ, включая отдельное уведомление Роскомнадзора, если оно необходимо, и проверку применимых ограничений.</w:t>
      </w:r>
    </w:p>
    <w:p w14:paraId="5F843AD6">
      <w:pPr>
        <w:widowControl/>
      </w:pPr>
      <w:r>
        <w:rPr>
          <w:b/>
        </w:rPr>
        <w:t xml:space="preserve">8.3. </w:t>
      </w:r>
      <w:r>
        <w:t>Использование внешней почты, CRM, аналитики, облачных средств и мессенджеров проверяется отдельно, в том числе на предмет доступа к данным из-за рубежа. До проведения такой проверки в документ нельзя включать безусловное заявление об отсутствии трансграничной передачи.</w:t>
      </w:r>
    </w:p>
    <w:p w14:paraId="4AE7D886">
      <w:pPr>
        <w:pStyle w:val="166"/>
      </w:pPr>
      <w:r>
        <w:t>9. СРОКИ ОБРАБОТКИ И УНИЧТОЖЕНИЕ ДАННЫХ</w:t>
      </w:r>
    </w:p>
    <w:p w14:paraId="123A09CE">
      <w:pPr>
        <w:widowControl/>
      </w:pPr>
      <w:r>
        <w:rPr>
          <w:b/>
        </w:rPr>
        <w:t xml:space="preserve">9.1. </w:t>
      </w:r>
      <w:r>
        <w:t>Персональные данные хранятся не дольше, чем это необходимо для заявленных целей; конкретные сроки определяются целями, требованиями применимых законов и обоснованной необходимостью подтверждения обязательств. При прекращении цели данные уничтожаются либо обезличиваются, если иной срок или основание сохранения не предусмотрены законом либо договором.</w:t>
      </w:r>
    </w:p>
    <w:p w14:paraId="11B56BE8">
      <w:pPr>
        <w:widowControl/>
      </w:pPr>
      <w:r>
        <w:rPr>
          <w:b/>
        </w:rPr>
        <w:t xml:space="preserve">9.2. </w:t>
      </w:r>
      <w:r>
        <w:t>Для сведений о неполной регистрации партнёра применяется проектный срок до 30 календарных дней после последнего действия пользователя, если не получен запрос на продолжение; для технических журналов безопасности — проектный срок до 90 дней при отсутствии инцидента. Эти сроки подлежат подтверждению в настройках системы и учётной политике обработки данных.</w:t>
      </w:r>
    </w:p>
    <w:p w14:paraId="29B05AA4">
      <w:pPr>
        <w:widowControl/>
      </w:pPr>
      <w:r>
        <w:rPr>
          <w:b/>
        </w:rPr>
        <w:t xml:space="preserve">9.3. </w:t>
      </w:r>
      <w:r>
        <w:t>Для лидов, не перешедших в договор, проектный срок хранения идентифицирующих сведений — до 12 месяцев после последнего содержательного взаимодействия; при этом данные, необходимые для 180-дневной атрибуции по Оферте, должны быть доступны в течение этого периода. Ранее возникшее требование об удалении исполняется в пределах закона и может требовать пересмотра правового основания обработки.</w:t>
      </w:r>
    </w:p>
    <w:p w14:paraId="1FE29215">
      <w:pPr>
        <w:widowControl/>
      </w:pPr>
      <w:r>
        <w:rPr>
          <w:b/>
        </w:rPr>
        <w:t xml:space="preserve">9.4. </w:t>
      </w:r>
      <w:r>
        <w:t>Данные партнёра и документы об оплатах обрабатываются в период действия договорных отношений и далее в течение соответствующих сроков обязательного хранения бухгалтерских, налоговых, платёжных документов, а также обоснованного срока защиты прав; после окончания правового основания данные уничтожаются или обезличиваются.</w:t>
      </w:r>
    </w:p>
    <w:p w14:paraId="2EF3B8FB">
      <w:pPr>
        <w:widowControl/>
      </w:pPr>
      <w:r>
        <w:rPr>
          <w:b/>
        </w:rPr>
        <w:t xml:space="preserve">9.5. </w:t>
      </w:r>
      <w:r>
        <w:t>Для обращений клиентов, заключивших договор, действуют сроки исполнения сделки и предусмотренного законом обязательного хранения. Журналы акцепта и согласий сохраняются в пределах срока, необходимого для подтверждения законности обработки и защиты права сторон.</w:t>
      </w:r>
    </w:p>
    <w:p w14:paraId="484C8A09">
      <w:pPr>
        <w:widowControl/>
      </w:pPr>
      <w:r>
        <w:rPr>
          <w:b/>
        </w:rPr>
        <w:t xml:space="preserve">9.6. </w:t>
      </w:r>
      <w:r>
        <w:t>При отзыве согласия или достижении цели обработки Оператор прекращает соответствующую обработку и уничтожает данные в порядке статьи 21 закона № 152-ФЗ, если отсутствуют другие правовые основания сохранения. По общему правилу срок уничтожения составляет не более 30 дней при предусмотренных законом условиях и исключениях.</w:t>
      </w:r>
    </w:p>
    <w:p w14:paraId="6BDFD3A7">
      <w:pPr>
        <w:pStyle w:val="166"/>
      </w:pPr>
      <w:r>
        <w:t>10. КОНФИДЕНЦИАЛЬНОСТЬ И БЕЗОПАСНОСТЬ</w:t>
      </w:r>
    </w:p>
    <w:p w14:paraId="21CE66E0">
      <w:pPr>
        <w:widowControl/>
      </w:pPr>
      <w:r>
        <w:rPr>
          <w:b/>
        </w:rPr>
        <w:t xml:space="preserve">10.1. </w:t>
      </w:r>
      <w:r>
        <w:t>Оператор принимает необходимые правовые, организационные и технические меры защиты: назначение ответственных при наличии такой обязанности, ограничение и учёт доступа, определение уровней защиты при необходимости, защита учётных записей, резервирование, контроль подрядчиков, обнаружение и реагирование на нарушения, документирование операций и обучение допущенных лиц. Конкретные используемые средства определяются по результатам оценки рисков и требованиям статьи 19 закона № 152-ФЗ.</w:t>
      </w:r>
    </w:p>
    <w:p w14:paraId="122AF3CD">
      <w:pPr>
        <w:widowControl/>
      </w:pPr>
      <w:r>
        <w:rPr>
          <w:b/>
        </w:rPr>
        <w:t xml:space="preserve">10.2. </w:t>
      </w:r>
      <w:r>
        <w:t>При подтверждённой неправомерной или случайной передаче персональных данных, повлекшей нарушение прав субъектов, Оператор уведомляет уполномоченный орган в сроки и объёме, предусмотренные частью 3.1 статьи 21 закона № 152-ФЗ (в том числе сообщение об инциденте в течение 24 часов и о результатах расследования в течение 72 часов, если норма применима).</w:t>
      </w:r>
    </w:p>
    <w:p w14:paraId="6AB7107D">
      <w:pPr>
        <w:widowControl/>
      </w:pPr>
      <w:r>
        <w:rPr>
          <w:b/>
        </w:rPr>
        <w:t xml:space="preserve">10.3. </w:t>
      </w:r>
      <w:r>
        <w:t>Оператор обеспечивает конфиденциальность персональных данных и допускает их раскрытие только при наличии законных оснований. Меры безопасности могут корректироваться с учётом изменений угроз и технологий.</w:t>
      </w:r>
    </w:p>
    <w:p w14:paraId="6D3AC32E">
      <w:pPr>
        <w:pStyle w:val="166"/>
      </w:pPr>
      <w:r>
        <w:t>11. ПРАВА СУБЪЕКТОВ ПЕРСОНАЛЬНЫХ ДАННЫХ</w:t>
      </w:r>
    </w:p>
    <w:p w14:paraId="32B02509">
      <w:pPr>
        <w:widowControl/>
      </w:pPr>
      <w:r>
        <w:rPr>
          <w:b/>
        </w:rPr>
        <w:t xml:space="preserve">11.1. </w:t>
      </w:r>
      <w:r>
        <w:t>Субъект вправе получать предусмотренную законом информацию об обработке собственных данных; требовать уточнения, блокирования, прекращения обработки или уничтожения данных при наличии установленных законом оснований; отозвать согласие; обжаловать действия Оператора в Роскомнадзор или суд.</w:t>
      </w:r>
    </w:p>
    <w:p w14:paraId="04EAF1D6">
      <w:pPr>
        <w:widowControl/>
      </w:pPr>
      <w:r>
        <w:rPr>
          <w:b/>
        </w:rPr>
        <w:t xml:space="preserve">11.2. </w:t>
      </w:r>
      <w:r>
        <w:t xml:space="preserve">Запрос направляется по адресу Оператора, указанному в разделе 1, либо по электронной почте </w:t>
      </w:r>
      <w:r>
        <w:rPr>
          <w:rFonts w:hint="default"/>
        </w:rPr>
        <w:t>goodexplorer49@gmail.com</w:t>
      </w:r>
      <w:r>
        <w:t>. В запросе указываются сведения, позволяющие установить право субъекта на доступ к данным в соответствии со статьями 14 и 20 закона № 152-ФЗ. Нельзя направлять паспортные документы через незащищённые каналы без необходимости.</w:t>
      </w:r>
    </w:p>
    <w:p w14:paraId="71AFADA3">
      <w:pPr>
        <w:widowControl/>
      </w:pPr>
      <w:r>
        <w:rPr>
          <w:b/>
        </w:rPr>
        <w:t xml:space="preserve">11.3. </w:t>
      </w:r>
      <w:r>
        <w:t>Ответ на запрос доступа предоставляется в течение 10 рабочих дней с возможностью предусмотренного законом продления не более чем на 5 рабочих дней при мотивированном уведомлении. Иные требования исполняются в сроки, установленные статьями 20 и 21 закона № 152-ФЗ, с учётом законных исключений.</w:t>
      </w:r>
    </w:p>
    <w:p w14:paraId="75EF101D">
      <w:pPr>
        <w:widowControl/>
      </w:pPr>
      <w:r>
        <w:rPr>
          <w:b/>
        </w:rPr>
        <w:t xml:space="preserve">11.4. </w:t>
      </w:r>
      <w:r>
        <w:t>Отзыв согласия не отменяет обработку, которая допускается без него в силу закона (например, необходимую для исполнения договора, налогового учёта или защиты прав), но прекращает обработку, для которой отсутствует другое правовое основание. Отказ от рекламных рассылок обрабатывается отдельно и без неоправданной задержки.</w:t>
      </w:r>
    </w:p>
    <w:p w14:paraId="3CD35ED6">
      <w:pPr>
        <w:pStyle w:val="166"/>
      </w:pPr>
      <w:r>
        <w:t>12. РЕКЛАМА И ОТДЕЛЬНЫЕ СОГЛАСИЯ</w:t>
      </w:r>
    </w:p>
    <w:p w14:paraId="6982F587">
      <w:pPr>
        <w:widowControl/>
      </w:pPr>
      <w:r>
        <w:rPr>
          <w:b/>
        </w:rPr>
        <w:t xml:space="preserve">12.1. </w:t>
      </w:r>
      <w:r>
        <w:t>Согласие на участие в Программе и обработку данных для регистрации не является согласием на рекламную рассылку, звонки, SMS или сообщения в мессенджерах. Продвижение товаров, работ и услуг путём прямых контактов средствами связи допускается при наличии предусмотренных законом предварительных согласий субъекта и адресата (статья 15 закона № 152-ФЗ, статья 18 закона № 38-ФЗ «О рекламе»).</w:t>
      </w:r>
    </w:p>
    <w:p w14:paraId="580B6AA3">
      <w:pPr>
        <w:widowControl/>
      </w:pPr>
      <w:r>
        <w:rPr>
          <w:b/>
        </w:rPr>
        <w:t xml:space="preserve">12.2. </w:t>
      </w:r>
      <w:r>
        <w:t>Если Сайт использует рекламные рассылки, для них оформляются отдельные формы согласия с возможностью простого отзыва. Предустановленные галочки, объединение рекламы с акцептом Оферты либо вынужденное согласие на необязательную обработку не применяются.</w:t>
      </w:r>
    </w:p>
    <w:p w14:paraId="0D8C5547">
      <w:pPr>
        <w:pStyle w:val="166"/>
      </w:pPr>
      <w:r>
        <w:t>13. АКТУАЛИЗАЦИЯ ПОЛИТИКИ И КОНТАКТЫ</w:t>
      </w:r>
    </w:p>
    <w:p w14:paraId="09ED73EF">
      <w:pPr>
        <w:widowControl/>
      </w:pPr>
      <w:r>
        <w:rPr>
          <w:b/>
        </w:rPr>
        <w:t xml:space="preserve">13.1. </w:t>
      </w:r>
      <w:r>
        <w:t>Политика действует с даты её утверждения и опубликования Оператором. Новая редакция содержит дату и номер версии и размещается по постоянному адресу, указанному в разделе 1. Изменения не подменяют ранее требовавшиеся согласия и не имеют обратной силы в отношении данных, если закон требует новое волеизъявление.</w:t>
      </w:r>
    </w:p>
    <w:p w14:paraId="1DDF282E">
      <w:pPr>
        <w:widowControl/>
      </w:pPr>
      <w:r>
        <w:rPr>
          <w:b/>
        </w:rPr>
        <w:t xml:space="preserve">13.2. </w:t>
      </w:r>
      <w:r>
        <w:t xml:space="preserve">Оператор: </w:t>
      </w:r>
      <w:r>
        <w:rPr>
          <w:rFonts w:hint="default"/>
        </w:rPr>
        <w:t>Ланько Максимильян Витальевич</w:t>
      </w:r>
      <w:r>
        <w:t xml:space="preserve">; адрес: </w:t>
      </w:r>
      <w:r>
        <w:rPr>
          <w:rFonts w:hint="default"/>
        </w:rPr>
        <w:t>улица Перерва, д. 31, кв./оф. 378, г. Москва</w:t>
      </w:r>
      <w:r>
        <w:t xml:space="preserve">; ИНН </w:t>
      </w:r>
      <w:r>
        <w:rPr>
          <w:rFonts w:hint="default"/>
        </w:rPr>
        <w:t>772353814001</w:t>
      </w:r>
      <w:r>
        <w:t xml:space="preserve">; ОГРН/ОГРНИП </w:t>
      </w:r>
      <w:r>
        <w:rPr>
          <w:rFonts w:hint="default"/>
        </w:rPr>
        <w:t>322774600539886</w:t>
      </w:r>
      <w:r>
        <w:t xml:space="preserve">; сайт: </w:t>
      </w:r>
      <w:r>
        <w:rPr>
          <w:rFonts w:hint="default"/>
          <w:color w:val="FF0000"/>
        </w:rPr>
        <w:t>https://195-133-25-125.sslip.io/</w:t>
      </w:r>
      <w:r>
        <w:t xml:space="preserve">; e-mail по вопросам обработки и прав субъектов: </w:t>
      </w:r>
      <w:r>
        <w:rPr>
          <w:rFonts w:hint="default"/>
        </w:rPr>
        <w:t>goodexplorer49@gmail.com</w:t>
      </w:r>
      <w:r>
        <w:t>.</w:t>
      </w:r>
    </w:p>
    <w:p w14:paraId="6B02D054">
      <w:pPr>
        <w:widowControl/>
      </w:pPr>
      <w:r>
        <w:rPr>
          <w:b/>
        </w:rPr>
        <w:t xml:space="preserve">13.3. </w:t>
      </w:r>
      <w:r>
        <w:t xml:space="preserve">Дата и основание утверждения Политики: </w:t>
      </w:r>
      <w:r>
        <w:rPr>
          <w:lang w:val="ru-RU"/>
        </w:rPr>
        <w:t>приказ</w:t>
      </w:r>
      <w:r>
        <w:rPr>
          <w:rFonts w:hint="default"/>
          <w:lang w:val="ru-RU"/>
        </w:rPr>
        <w:t xml:space="preserve"> </w:t>
      </w:r>
      <w:r>
        <w:t xml:space="preserve">№ </w:t>
      </w:r>
      <w:r>
        <w:rPr>
          <w:rFonts w:hint="default"/>
          <w:lang w:val="ru-RU"/>
        </w:rPr>
        <w:t>22</w:t>
      </w:r>
      <w:bookmarkStart w:id="0" w:name="_GoBack"/>
      <w:bookmarkEnd w:id="0"/>
      <w:r>
        <w:t xml:space="preserve"> ОТ </w:t>
      </w:r>
      <w:r>
        <w:rPr>
          <w:rFonts w:hint="default"/>
          <w:lang w:val="ru-RU"/>
        </w:rPr>
        <w:t>03.11.2026</w:t>
      </w:r>
      <w:r>
        <w:t>. Полный перечень фактически применяемых обработчиков и файлов cookies проверяется и при необходимости актуализируется одновременно с изменениями технической инфраструктуры Сайта.</w:t>
      </w:r>
    </w:p>
    <w:sectPr>
      <w:headerReference r:id="rId5" w:type="default"/>
      <w:pgSz w:w="11906" w:h="16838"/>
      <w:pgMar w:top="1191" w:right="850" w:bottom="1134" w:left="1701" w:header="482" w:footer="624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67302">
    <w:pPr>
      <w:pStyle w:val="168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82B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76" w:lineRule="auto"/>
      <w:ind w:firstLine="709"/>
      <w:jc w:val="both"/>
    </w:pPr>
    <w:rPr>
      <w:rFonts w:ascii="Times New Roman" w:hAnsi="Times New Roman" w:eastAsia="Times New Roman" w:cstheme="minorBidi"/>
      <w:color w:val="000000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paragraph" w:customStyle="1" w:styleId="164">
    <w:name w:val="GE Title"/>
    <w:basedOn w:val="1"/>
    <w:uiPriority w:val="0"/>
    <w:pPr>
      <w:keepNext/>
      <w:spacing w:before="0" w:after="200" w:line="276" w:lineRule="auto"/>
      <w:ind w:firstLine="0"/>
      <w:jc w:val="center"/>
    </w:pPr>
    <w:rPr>
      <w:rFonts w:ascii="Times New Roman" w:hAnsi="Times New Roman" w:eastAsia="Times New Roman"/>
      <w:b/>
      <w:color w:val="000000"/>
      <w:sz w:val="28"/>
    </w:rPr>
  </w:style>
  <w:style w:type="paragraph" w:customStyle="1" w:styleId="165">
    <w:name w:val="GE Subtitle"/>
    <w:basedOn w:val="1"/>
    <w:uiPriority w:val="0"/>
    <w:pPr>
      <w:spacing w:before="0" w:after="180" w:line="276" w:lineRule="auto"/>
      <w:ind w:firstLine="0"/>
      <w:jc w:val="center"/>
    </w:pPr>
    <w:rPr>
      <w:rFonts w:ascii="Times New Roman" w:hAnsi="Times New Roman" w:eastAsia="Times New Roman"/>
      <w:color w:val="000000"/>
      <w:sz w:val="24"/>
    </w:rPr>
  </w:style>
  <w:style w:type="paragraph" w:customStyle="1" w:styleId="166">
    <w:name w:val="GE Section"/>
    <w:basedOn w:val="1"/>
    <w:uiPriority w:val="0"/>
    <w:pPr>
      <w:keepNext/>
      <w:spacing w:before="180" w:after="100" w:line="276" w:lineRule="auto"/>
      <w:ind w:firstLine="0"/>
      <w:jc w:val="left"/>
    </w:pPr>
    <w:rPr>
      <w:rFonts w:ascii="Times New Roman" w:hAnsi="Times New Roman" w:eastAsia="Times New Roman"/>
      <w:b/>
      <w:color w:val="000000"/>
      <w:sz w:val="24"/>
    </w:rPr>
  </w:style>
  <w:style w:type="paragraph" w:customStyle="1" w:styleId="167">
    <w:name w:val="GE Table"/>
    <w:basedOn w:val="1"/>
    <w:uiPriority w:val="0"/>
    <w:pPr>
      <w:spacing w:before="0" w:after="0" w:line="269" w:lineRule="auto"/>
      <w:ind w:firstLine="0"/>
      <w:jc w:val="both"/>
    </w:pPr>
    <w:rPr>
      <w:rFonts w:ascii="Times New Roman" w:hAnsi="Times New Roman" w:eastAsia="Times New Roman"/>
      <w:color w:val="000000"/>
      <w:sz w:val="20"/>
    </w:rPr>
  </w:style>
  <w:style w:type="paragraph" w:customStyle="1" w:styleId="168">
    <w:name w:val="GE Small"/>
    <w:basedOn w:val="1"/>
    <w:uiPriority w:val="0"/>
    <w:pPr>
      <w:spacing w:before="0" w:after="60" w:line="276" w:lineRule="auto"/>
      <w:ind w:firstLine="709"/>
      <w:jc w:val="both"/>
    </w:pPr>
    <w:rPr>
      <w:rFonts w:ascii="Times New Roman" w:hAnsi="Times New Roman" w:eastAsia="Times New Roman"/>
      <w:color w:val="000000"/>
      <w:sz w:val="20"/>
    </w:rPr>
  </w:style>
  <w:style w:type="paragraph" w:customStyle="1" w:styleId="169">
    <w:name w:val="GE Note"/>
    <w:basedOn w:val="1"/>
    <w:uiPriority w:val="0"/>
    <w:pPr>
      <w:spacing w:before="100" w:after="140" w:line="276" w:lineRule="auto"/>
      <w:ind w:firstLine="709"/>
      <w:jc w:val="both"/>
    </w:pPr>
    <w:rPr>
      <w:rFonts w:ascii="Times New Roman" w:hAnsi="Times New Roman" w:eastAsia="Times New Roman"/>
      <w:color w:val="000000"/>
      <w:sz w:val="22"/>
    </w:rPr>
  </w:style>
  <w:style w:type="paragraph" w:customStyle="1" w:styleId="170">
    <w:name w:val="GE Top"/>
    <w:basedOn w:val="1"/>
    <w:uiPriority w:val="0"/>
    <w:pPr>
      <w:keepNext/>
      <w:spacing w:before="0" w:after="100" w:line="276" w:lineRule="auto"/>
      <w:ind w:firstLine="0"/>
      <w:jc w:val="left"/>
    </w:pPr>
    <w:rPr>
      <w:rFonts w:ascii="Times New Roman" w:hAnsi="Times New Roman" w:eastAsia="Times New Roman"/>
      <w:color w:val="000000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Pc User</dc:creator>
  <dc:description>generated by python-docx</dc:description>
  <cp:lastModifiedBy>Pc User</cp:lastModifiedBy>
  <dcterms:modified xsi:type="dcterms:W3CDTF">2026-11-03T12:27:27Z</dcterms:modified>
  <dc:title>GoodExplorer — документы по персональным данным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3B485B7D45D84570AE7599BBBD75BFCD_12</vt:lpwstr>
  </property>
</Properties>
</file>